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C490" w14:textId="77777777" w:rsidR="00521246" w:rsidRPr="002F22E0" w:rsidRDefault="00521246" w:rsidP="00B66DD1">
      <w:pPr>
        <w:tabs>
          <w:tab w:val="left" w:pos="6480"/>
        </w:tabs>
        <w:jc w:val="center"/>
        <w:rPr>
          <w:rFonts w:ascii="Arial" w:hAnsi="Arial" w:cs="Arial"/>
          <w:b/>
          <w:bCs/>
          <w:sz w:val="22"/>
          <w:szCs w:val="22"/>
        </w:rPr>
      </w:pPr>
      <w:bookmarkStart w:id="0" w:name="_GoBack"/>
      <w:bookmarkEnd w:id="0"/>
      <w:r w:rsidRPr="002F22E0">
        <w:rPr>
          <w:rFonts w:ascii="Arial" w:hAnsi="Arial" w:cs="Arial"/>
          <w:b/>
          <w:bCs/>
          <w:sz w:val="22"/>
          <w:szCs w:val="22"/>
        </w:rPr>
        <w:t>STATUS OF IMPLEMENTATION OF PRIOR YEARS’</w:t>
      </w:r>
    </w:p>
    <w:p w14:paraId="436A7D36" w14:textId="77777777" w:rsidR="00521246" w:rsidRPr="002F22E0" w:rsidRDefault="00521246" w:rsidP="00521246">
      <w:pPr>
        <w:jc w:val="center"/>
        <w:rPr>
          <w:rFonts w:ascii="Arial" w:hAnsi="Arial" w:cs="Arial"/>
          <w:b/>
          <w:bCs/>
          <w:sz w:val="22"/>
          <w:szCs w:val="22"/>
        </w:rPr>
      </w:pPr>
      <w:r w:rsidRPr="002F22E0">
        <w:rPr>
          <w:rFonts w:ascii="Arial" w:hAnsi="Arial" w:cs="Arial"/>
          <w:b/>
          <w:bCs/>
          <w:sz w:val="22"/>
          <w:szCs w:val="22"/>
        </w:rPr>
        <w:t>AUDIT RECOMMENDATIONS</w:t>
      </w:r>
    </w:p>
    <w:p w14:paraId="67526398" w14:textId="77777777" w:rsidR="00521246" w:rsidRPr="002F22E0" w:rsidRDefault="00521246" w:rsidP="00521246">
      <w:pPr>
        <w:jc w:val="center"/>
        <w:rPr>
          <w:rFonts w:ascii="Arial" w:hAnsi="Arial" w:cs="Arial"/>
          <w:b/>
          <w:bCs/>
          <w:sz w:val="22"/>
          <w:szCs w:val="22"/>
        </w:rPr>
      </w:pPr>
    </w:p>
    <w:p w14:paraId="5EC3BC65" w14:textId="2BC5DC5B" w:rsidR="00521246" w:rsidRPr="004E1CAE" w:rsidRDefault="00023566" w:rsidP="00521246">
      <w:pPr>
        <w:ind w:left="-120" w:right="-72"/>
        <w:jc w:val="both"/>
        <w:rPr>
          <w:rFonts w:ascii="Arial" w:hAnsi="Arial" w:cs="Arial"/>
          <w:sz w:val="22"/>
          <w:szCs w:val="22"/>
        </w:rPr>
      </w:pPr>
      <w:r>
        <w:rPr>
          <w:rFonts w:ascii="Arial" w:hAnsi="Arial" w:cs="Arial"/>
          <w:sz w:val="22"/>
          <w:szCs w:val="22"/>
        </w:rPr>
        <w:t xml:space="preserve">Out of </w:t>
      </w:r>
      <w:r w:rsidR="00A86EBC">
        <w:rPr>
          <w:rFonts w:ascii="Arial" w:hAnsi="Arial" w:cs="Arial"/>
          <w:sz w:val="22"/>
          <w:szCs w:val="22"/>
        </w:rPr>
        <w:t xml:space="preserve">14 </w:t>
      </w:r>
      <w:r w:rsidR="001C0BFB" w:rsidRPr="001C0BFB">
        <w:rPr>
          <w:rFonts w:ascii="Arial" w:hAnsi="Arial" w:cs="Arial"/>
          <w:sz w:val="22"/>
          <w:szCs w:val="22"/>
        </w:rPr>
        <w:t xml:space="preserve">audit recommendations embodied in the </w:t>
      </w:r>
      <w:r w:rsidR="002069A7">
        <w:rPr>
          <w:rFonts w:ascii="Arial" w:hAnsi="Arial" w:cs="Arial"/>
          <w:sz w:val="22"/>
          <w:szCs w:val="22"/>
        </w:rPr>
        <w:t>CY 202</w:t>
      </w:r>
      <w:r w:rsidR="00E41E5F">
        <w:rPr>
          <w:rFonts w:ascii="Arial" w:hAnsi="Arial" w:cs="Arial"/>
          <w:sz w:val="22"/>
          <w:szCs w:val="22"/>
        </w:rPr>
        <w:t>1</w:t>
      </w:r>
      <w:r w:rsidR="002069A7">
        <w:rPr>
          <w:rFonts w:ascii="Arial" w:hAnsi="Arial" w:cs="Arial"/>
          <w:sz w:val="22"/>
          <w:szCs w:val="22"/>
        </w:rPr>
        <w:t xml:space="preserve"> Annual Audit Report</w:t>
      </w:r>
      <w:r w:rsidR="001C0BFB" w:rsidRPr="001C0BFB">
        <w:rPr>
          <w:rFonts w:ascii="Arial" w:hAnsi="Arial" w:cs="Arial"/>
          <w:sz w:val="22"/>
          <w:szCs w:val="22"/>
        </w:rPr>
        <w:t xml:space="preserve">, </w:t>
      </w:r>
      <w:r w:rsidR="00A86EBC">
        <w:rPr>
          <w:rFonts w:ascii="Arial" w:hAnsi="Arial" w:cs="Arial"/>
          <w:sz w:val="22"/>
          <w:szCs w:val="22"/>
        </w:rPr>
        <w:t xml:space="preserve">10 </w:t>
      </w:r>
      <w:r w:rsidR="0082564A">
        <w:rPr>
          <w:rFonts w:ascii="Arial" w:hAnsi="Arial" w:cs="Arial"/>
          <w:sz w:val="22"/>
          <w:szCs w:val="22"/>
        </w:rPr>
        <w:t>were</w:t>
      </w:r>
      <w:r w:rsidR="004F72BA">
        <w:rPr>
          <w:rFonts w:ascii="Arial" w:hAnsi="Arial" w:cs="Arial"/>
          <w:sz w:val="22"/>
          <w:szCs w:val="22"/>
        </w:rPr>
        <w:t xml:space="preserve"> fully implemente</w:t>
      </w:r>
      <w:r w:rsidR="004218B7">
        <w:rPr>
          <w:rFonts w:ascii="Arial" w:hAnsi="Arial" w:cs="Arial"/>
          <w:sz w:val="22"/>
          <w:szCs w:val="22"/>
        </w:rPr>
        <w:t>d</w:t>
      </w:r>
      <w:r w:rsidR="00567D48">
        <w:rPr>
          <w:rFonts w:ascii="Arial" w:hAnsi="Arial" w:cs="Arial"/>
          <w:sz w:val="22"/>
          <w:szCs w:val="22"/>
        </w:rPr>
        <w:t xml:space="preserve"> and four</w:t>
      </w:r>
      <w:r w:rsidR="001A0865">
        <w:rPr>
          <w:rFonts w:ascii="Arial" w:hAnsi="Arial" w:cs="Arial"/>
          <w:sz w:val="22"/>
          <w:szCs w:val="22"/>
        </w:rPr>
        <w:t xml:space="preserve"> </w:t>
      </w:r>
      <w:r w:rsidR="001C0BFB">
        <w:rPr>
          <w:rFonts w:ascii="Arial" w:hAnsi="Arial" w:cs="Arial"/>
          <w:sz w:val="22"/>
          <w:szCs w:val="22"/>
        </w:rPr>
        <w:t>w</w:t>
      </w:r>
      <w:r w:rsidR="004218B7">
        <w:rPr>
          <w:rFonts w:ascii="Arial" w:hAnsi="Arial" w:cs="Arial"/>
          <w:sz w:val="22"/>
          <w:szCs w:val="22"/>
        </w:rPr>
        <w:t>as</w:t>
      </w:r>
      <w:r w:rsidR="000306AB">
        <w:rPr>
          <w:rFonts w:ascii="Arial" w:hAnsi="Arial" w:cs="Arial"/>
          <w:sz w:val="22"/>
          <w:szCs w:val="22"/>
        </w:rPr>
        <w:t xml:space="preserve"> partially implemented</w:t>
      </w:r>
      <w:r w:rsidR="009E3760">
        <w:rPr>
          <w:rFonts w:ascii="Arial" w:hAnsi="Arial" w:cs="Arial"/>
          <w:sz w:val="22"/>
          <w:szCs w:val="22"/>
        </w:rPr>
        <w:t>.</w:t>
      </w:r>
      <w:r w:rsidR="003539C4">
        <w:rPr>
          <w:rFonts w:ascii="Arial" w:hAnsi="Arial" w:cs="Arial"/>
          <w:sz w:val="22"/>
          <w:szCs w:val="22"/>
        </w:rPr>
        <w:t xml:space="preserve"> </w:t>
      </w:r>
      <w:r w:rsidR="00220873">
        <w:rPr>
          <w:rFonts w:ascii="Arial" w:hAnsi="Arial" w:cs="Arial"/>
          <w:sz w:val="22"/>
          <w:szCs w:val="22"/>
        </w:rPr>
        <w:t xml:space="preserve">The </w:t>
      </w:r>
      <w:r w:rsidR="00356569">
        <w:rPr>
          <w:rFonts w:ascii="Arial" w:hAnsi="Arial" w:cs="Arial"/>
          <w:sz w:val="22"/>
          <w:szCs w:val="22"/>
        </w:rPr>
        <w:t>observation</w:t>
      </w:r>
      <w:r w:rsidR="008B59AB">
        <w:rPr>
          <w:rFonts w:ascii="Arial" w:hAnsi="Arial" w:cs="Arial"/>
          <w:sz w:val="22"/>
          <w:szCs w:val="22"/>
        </w:rPr>
        <w:t>s</w:t>
      </w:r>
      <w:r w:rsidR="00356569">
        <w:rPr>
          <w:rFonts w:ascii="Arial" w:hAnsi="Arial" w:cs="Arial"/>
          <w:sz w:val="22"/>
          <w:szCs w:val="22"/>
        </w:rPr>
        <w:t xml:space="preserve"> with</w:t>
      </w:r>
      <w:r w:rsidR="00350B2D">
        <w:rPr>
          <w:rFonts w:ascii="Arial" w:hAnsi="Arial" w:cs="Arial"/>
          <w:sz w:val="22"/>
          <w:szCs w:val="22"/>
        </w:rPr>
        <w:t xml:space="preserve"> </w:t>
      </w:r>
      <w:r w:rsidR="00220873">
        <w:rPr>
          <w:rFonts w:ascii="Arial" w:hAnsi="Arial" w:cs="Arial"/>
          <w:sz w:val="22"/>
          <w:szCs w:val="22"/>
        </w:rPr>
        <w:t>partially</w:t>
      </w:r>
      <w:r w:rsidR="004218B7">
        <w:rPr>
          <w:rFonts w:ascii="Arial" w:hAnsi="Arial" w:cs="Arial"/>
          <w:sz w:val="22"/>
          <w:szCs w:val="22"/>
        </w:rPr>
        <w:t xml:space="preserve"> </w:t>
      </w:r>
      <w:r w:rsidR="00463C65">
        <w:rPr>
          <w:rFonts w:ascii="Arial" w:hAnsi="Arial" w:cs="Arial"/>
          <w:sz w:val="22"/>
          <w:szCs w:val="22"/>
        </w:rPr>
        <w:t xml:space="preserve">implemented </w:t>
      </w:r>
      <w:r w:rsidR="00521246" w:rsidRPr="003E2581">
        <w:rPr>
          <w:rFonts w:ascii="Arial" w:hAnsi="Arial" w:cs="Arial"/>
          <w:sz w:val="22"/>
          <w:szCs w:val="22"/>
        </w:rPr>
        <w:t>recommendation</w:t>
      </w:r>
      <w:r w:rsidR="008B59AB">
        <w:rPr>
          <w:rFonts w:ascii="Arial" w:hAnsi="Arial" w:cs="Arial"/>
          <w:sz w:val="22"/>
          <w:szCs w:val="22"/>
        </w:rPr>
        <w:t>s</w:t>
      </w:r>
      <w:r w:rsidR="00521246" w:rsidRPr="003E2581">
        <w:rPr>
          <w:rFonts w:ascii="Arial" w:hAnsi="Arial" w:cs="Arial"/>
          <w:sz w:val="22"/>
          <w:szCs w:val="22"/>
        </w:rPr>
        <w:t xml:space="preserve"> </w:t>
      </w:r>
      <w:r w:rsidR="008B59AB">
        <w:rPr>
          <w:rFonts w:ascii="Arial" w:hAnsi="Arial" w:cs="Arial"/>
          <w:sz w:val="22"/>
          <w:szCs w:val="22"/>
        </w:rPr>
        <w:t>are</w:t>
      </w:r>
      <w:r w:rsidR="001A0865" w:rsidRPr="003E2581">
        <w:rPr>
          <w:rFonts w:ascii="Arial" w:hAnsi="Arial" w:cs="Arial"/>
          <w:sz w:val="22"/>
          <w:szCs w:val="22"/>
        </w:rPr>
        <w:t xml:space="preserve"> </w:t>
      </w:r>
      <w:r w:rsidR="00521246" w:rsidRPr="003E2581">
        <w:rPr>
          <w:rFonts w:ascii="Arial" w:hAnsi="Arial" w:cs="Arial"/>
          <w:sz w:val="22"/>
          <w:szCs w:val="22"/>
        </w:rPr>
        <w:t>presented below:</w:t>
      </w:r>
    </w:p>
    <w:p w14:paraId="161F6A67" w14:textId="77777777" w:rsidR="00CD784E" w:rsidRDefault="00CD784E" w:rsidP="0021660C">
      <w:pPr>
        <w:ind w:right="-72"/>
        <w:jc w:val="both"/>
        <w:rPr>
          <w:rFonts w:ascii="Arial" w:hAnsi="Arial" w:cs="Arial"/>
          <w:sz w:val="22"/>
          <w:szCs w:val="22"/>
        </w:rPr>
      </w:pPr>
    </w:p>
    <w:tbl>
      <w:tblPr>
        <w:tblStyle w:val="TableGrid"/>
        <w:tblW w:w="8926" w:type="dxa"/>
        <w:tblInd w:w="-147" w:type="dxa"/>
        <w:tblLook w:val="04A0" w:firstRow="1" w:lastRow="0" w:firstColumn="1" w:lastColumn="0" w:noHBand="0" w:noVBand="1"/>
      </w:tblPr>
      <w:tblGrid>
        <w:gridCol w:w="1675"/>
        <w:gridCol w:w="2136"/>
        <w:gridCol w:w="2185"/>
        <w:gridCol w:w="2930"/>
      </w:tblGrid>
      <w:tr w:rsidR="00A715D3" w:rsidRPr="00A531C0" w14:paraId="5401B1AC" w14:textId="77777777" w:rsidTr="008F3D9D">
        <w:tc>
          <w:tcPr>
            <w:tcW w:w="1675" w:type="dxa"/>
            <w:vMerge w:val="restart"/>
            <w:vAlign w:val="center"/>
          </w:tcPr>
          <w:p w14:paraId="69913C96" w14:textId="77777777" w:rsidR="00A715D3" w:rsidRPr="00A531C0" w:rsidRDefault="00A715D3" w:rsidP="00A6790A">
            <w:pPr>
              <w:jc w:val="center"/>
              <w:rPr>
                <w:rFonts w:ascii="Arial" w:hAnsi="Arial" w:cs="Arial"/>
                <w:b/>
                <w:sz w:val="22"/>
                <w:szCs w:val="22"/>
              </w:rPr>
            </w:pPr>
            <w:r w:rsidRPr="00A531C0">
              <w:rPr>
                <w:rFonts w:ascii="Arial" w:hAnsi="Arial" w:cs="Arial"/>
                <w:b/>
                <w:sz w:val="22"/>
                <w:szCs w:val="22"/>
              </w:rPr>
              <w:t>References</w:t>
            </w:r>
          </w:p>
        </w:tc>
        <w:tc>
          <w:tcPr>
            <w:tcW w:w="4321" w:type="dxa"/>
            <w:gridSpan w:val="2"/>
          </w:tcPr>
          <w:p w14:paraId="03CE3F21" w14:textId="77777777" w:rsidR="00A715D3" w:rsidRPr="00A531C0" w:rsidRDefault="00A715D3" w:rsidP="00C151DF">
            <w:pPr>
              <w:jc w:val="center"/>
              <w:rPr>
                <w:rFonts w:ascii="Arial" w:hAnsi="Arial" w:cs="Arial"/>
                <w:b/>
                <w:sz w:val="22"/>
                <w:szCs w:val="22"/>
              </w:rPr>
            </w:pPr>
            <w:r w:rsidRPr="00A531C0">
              <w:rPr>
                <w:rFonts w:ascii="Arial" w:hAnsi="Arial" w:cs="Arial"/>
                <w:b/>
                <w:sz w:val="22"/>
                <w:szCs w:val="22"/>
              </w:rPr>
              <w:t>Audit</w:t>
            </w:r>
          </w:p>
        </w:tc>
        <w:tc>
          <w:tcPr>
            <w:tcW w:w="2930" w:type="dxa"/>
            <w:vMerge w:val="restart"/>
            <w:vAlign w:val="center"/>
          </w:tcPr>
          <w:p w14:paraId="1A589967" w14:textId="77777777" w:rsidR="00A715D3" w:rsidRPr="00A531C0" w:rsidRDefault="00A715D3" w:rsidP="00A715D3">
            <w:pPr>
              <w:jc w:val="center"/>
              <w:rPr>
                <w:rFonts w:ascii="Arial" w:hAnsi="Arial" w:cs="Arial"/>
                <w:b/>
                <w:sz w:val="22"/>
                <w:szCs w:val="22"/>
              </w:rPr>
            </w:pPr>
            <w:r w:rsidRPr="00A531C0">
              <w:rPr>
                <w:rFonts w:ascii="Arial" w:hAnsi="Arial" w:cs="Arial"/>
                <w:b/>
                <w:sz w:val="22"/>
                <w:szCs w:val="22"/>
              </w:rPr>
              <w:t>Status of Implementation</w:t>
            </w:r>
          </w:p>
        </w:tc>
      </w:tr>
      <w:tr w:rsidR="00A715D3" w:rsidRPr="00A531C0" w14:paraId="0F808EA6" w14:textId="77777777" w:rsidTr="008F3D9D">
        <w:tc>
          <w:tcPr>
            <w:tcW w:w="1675" w:type="dxa"/>
            <w:vMerge/>
          </w:tcPr>
          <w:p w14:paraId="600A0898" w14:textId="77777777" w:rsidR="00A715D3" w:rsidRPr="00A531C0" w:rsidRDefault="00A715D3" w:rsidP="00C151DF">
            <w:pPr>
              <w:jc w:val="both"/>
              <w:rPr>
                <w:rFonts w:ascii="Arial" w:hAnsi="Arial" w:cs="Arial"/>
                <w:sz w:val="22"/>
                <w:szCs w:val="22"/>
              </w:rPr>
            </w:pPr>
          </w:p>
        </w:tc>
        <w:tc>
          <w:tcPr>
            <w:tcW w:w="2136" w:type="dxa"/>
          </w:tcPr>
          <w:p w14:paraId="7BF8ABBF" w14:textId="77777777" w:rsidR="00A715D3" w:rsidRPr="00A531C0" w:rsidRDefault="00A715D3" w:rsidP="00C151DF">
            <w:pPr>
              <w:jc w:val="center"/>
              <w:rPr>
                <w:rFonts w:ascii="Arial" w:hAnsi="Arial" w:cs="Arial"/>
                <w:b/>
                <w:sz w:val="22"/>
                <w:szCs w:val="22"/>
              </w:rPr>
            </w:pPr>
            <w:r w:rsidRPr="00A531C0">
              <w:rPr>
                <w:rFonts w:ascii="Arial" w:hAnsi="Arial" w:cs="Arial"/>
                <w:b/>
                <w:sz w:val="22"/>
                <w:szCs w:val="22"/>
              </w:rPr>
              <w:t>Observations</w:t>
            </w:r>
          </w:p>
        </w:tc>
        <w:tc>
          <w:tcPr>
            <w:tcW w:w="2185" w:type="dxa"/>
          </w:tcPr>
          <w:p w14:paraId="0DE1BA3F" w14:textId="77777777" w:rsidR="00A715D3" w:rsidRPr="00A531C0" w:rsidRDefault="00A715D3" w:rsidP="00C151DF">
            <w:pPr>
              <w:jc w:val="center"/>
              <w:rPr>
                <w:rFonts w:ascii="Arial" w:hAnsi="Arial" w:cs="Arial"/>
                <w:b/>
                <w:sz w:val="22"/>
                <w:szCs w:val="22"/>
              </w:rPr>
            </w:pPr>
            <w:r w:rsidRPr="00A531C0">
              <w:rPr>
                <w:rFonts w:ascii="Arial" w:hAnsi="Arial" w:cs="Arial"/>
                <w:b/>
                <w:sz w:val="22"/>
                <w:szCs w:val="22"/>
              </w:rPr>
              <w:t>Recommendations</w:t>
            </w:r>
          </w:p>
        </w:tc>
        <w:tc>
          <w:tcPr>
            <w:tcW w:w="2930" w:type="dxa"/>
            <w:vMerge/>
          </w:tcPr>
          <w:p w14:paraId="27B2C01B" w14:textId="77777777" w:rsidR="00A715D3" w:rsidRPr="00A531C0" w:rsidRDefault="00A715D3" w:rsidP="00C151DF">
            <w:pPr>
              <w:jc w:val="both"/>
              <w:rPr>
                <w:rFonts w:ascii="Arial" w:hAnsi="Arial" w:cs="Arial"/>
                <w:sz w:val="22"/>
                <w:szCs w:val="22"/>
              </w:rPr>
            </w:pPr>
          </w:p>
        </w:tc>
      </w:tr>
      <w:tr w:rsidR="00E41E5F" w:rsidRPr="00A531C0" w14:paraId="4CDEDB1E" w14:textId="77777777" w:rsidTr="008F3D9D">
        <w:tc>
          <w:tcPr>
            <w:tcW w:w="1675" w:type="dxa"/>
          </w:tcPr>
          <w:p w14:paraId="6ED054B5" w14:textId="1080B05A" w:rsidR="00E41E5F" w:rsidRPr="00A531C0" w:rsidRDefault="00E41E5F" w:rsidP="00C151DF">
            <w:pPr>
              <w:jc w:val="both"/>
              <w:rPr>
                <w:rFonts w:ascii="Arial" w:hAnsi="Arial" w:cs="Arial"/>
                <w:sz w:val="22"/>
                <w:szCs w:val="22"/>
              </w:rPr>
            </w:pPr>
            <w:r>
              <w:rPr>
                <w:rFonts w:ascii="Arial" w:hAnsi="Arial" w:cs="Arial"/>
                <w:sz w:val="22"/>
                <w:szCs w:val="22"/>
              </w:rPr>
              <w:t>CY 2021 AAR AOM No. 1 Pages 39 to 41</w:t>
            </w:r>
          </w:p>
        </w:tc>
        <w:tc>
          <w:tcPr>
            <w:tcW w:w="2136" w:type="dxa"/>
          </w:tcPr>
          <w:p w14:paraId="494E8A08" w14:textId="22087558" w:rsidR="00E41E5F" w:rsidRPr="008B59AB" w:rsidRDefault="00E41E5F" w:rsidP="00E41E5F">
            <w:pPr>
              <w:pStyle w:val="NoSpacing"/>
              <w:tabs>
                <w:tab w:val="left" w:pos="0"/>
                <w:tab w:val="left" w:pos="530"/>
              </w:tabs>
              <w:jc w:val="both"/>
              <w:rPr>
                <w:rFonts w:ascii="Arial" w:hAnsi="Arial" w:cs="Arial"/>
                <w:sz w:val="22"/>
                <w:szCs w:val="22"/>
              </w:rPr>
            </w:pPr>
            <w:r w:rsidRPr="00E41E5F">
              <w:rPr>
                <w:rFonts w:ascii="Arial" w:hAnsi="Arial" w:cs="Arial"/>
                <w:sz w:val="22"/>
                <w:szCs w:val="22"/>
              </w:rPr>
              <w:t>The faithful representation of the balance of Accrued Expenses account amounting to P44.873 million as at December 31, 2021 was not established due to unreconciled variance of P11.292 million between the payable to LBP in OFB books and receivable from OFB in LBP books.</w:t>
            </w:r>
          </w:p>
        </w:tc>
        <w:tc>
          <w:tcPr>
            <w:tcW w:w="2185" w:type="dxa"/>
          </w:tcPr>
          <w:p w14:paraId="65122C7F" w14:textId="1D4B54E6" w:rsidR="00E41E5F" w:rsidRPr="008B59AB" w:rsidRDefault="00E41E5F" w:rsidP="00E41E5F">
            <w:pPr>
              <w:tabs>
                <w:tab w:val="left" w:pos="450"/>
              </w:tabs>
              <w:jc w:val="both"/>
              <w:rPr>
                <w:rFonts w:ascii="Arial" w:hAnsi="Arial" w:cs="Arial"/>
                <w:sz w:val="22"/>
                <w:szCs w:val="22"/>
              </w:rPr>
            </w:pPr>
            <w:r>
              <w:rPr>
                <w:rFonts w:ascii="Arial" w:hAnsi="Arial" w:cs="Arial"/>
                <w:sz w:val="22"/>
                <w:szCs w:val="22"/>
              </w:rPr>
              <w:t>R</w:t>
            </w:r>
            <w:r w:rsidRPr="00E41E5F">
              <w:rPr>
                <w:rFonts w:ascii="Arial" w:hAnsi="Arial" w:cs="Arial"/>
                <w:sz w:val="22"/>
                <w:szCs w:val="22"/>
              </w:rPr>
              <w:t>econcile the variance between the payable to LBP in the OFB books and the receivable from OFB in LBP books, and prepare the necessary adjusting entries to correct the balances of the Accrued Expenses and other affected accounts as at December 31, 2021.</w:t>
            </w:r>
          </w:p>
        </w:tc>
        <w:tc>
          <w:tcPr>
            <w:tcW w:w="2930" w:type="dxa"/>
          </w:tcPr>
          <w:p w14:paraId="206D4AC7" w14:textId="2B413C89" w:rsidR="00E41E5F" w:rsidRDefault="00E41E5F" w:rsidP="00E41E5F">
            <w:pPr>
              <w:pStyle w:val="NoSpacing"/>
              <w:tabs>
                <w:tab w:val="left" w:pos="735"/>
              </w:tabs>
              <w:jc w:val="both"/>
              <w:rPr>
                <w:rFonts w:ascii="Arial" w:hAnsi="Arial" w:cs="Arial"/>
                <w:sz w:val="22"/>
                <w:szCs w:val="22"/>
              </w:rPr>
            </w:pPr>
            <w:r>
              <w:rPr>
                <w:rFonts w:ascii="Arial" w:hAnsi="Arial" w:cs="Arial"/>
                <w:sz w:val="22"/>
                <w:szCs w:val="22"/>
              </w:rPr>
              <w:t>Partially implemented.</w:t>
            </w:r>
          </w:p>
          <w:p w14:paraId="2732E690" w14:textId="77777777" w:rsidR="00E41E5F" w:rsidRDefault="00E41E5F" w:rsidP="00E41E5F">
            <w:pPr>
              <w:pStyle w:val="NoSpacing"/>
              <w:tabs>
                <w:tab w:val="left" w:pos="735"/>
              </w:tabs>
              <w:jc w:val="both"/>
              <w:rPr>
                <w:rFonts w:ascii="Arial" w:hAnsi="Arial" w:cs="Arial"/>
                <w:sz w:val="22"/>
                <w:szCs w:val="22"/>
              </w:rPr>
            </w:pPr>
          </w:p>
          <w:p w14:paraId="6B331DF2" w14:textId="4E8EAE10" w:rsidR="00E41E5F" w:rsidRDefault="00E41E5F" w:rsidP="00E41E5F">
            <w:pPr>
              <w:pStyle w:val="NoSpacing"/>
              <w:tabs>
                <w:tab w:val="left" w:pos="735"/>
              </w:tabs>
              <w:jc w:val="both"/>
              <w:rPr>
                <w:rFonts w:ascii="Arial" w:hAnsi="Arial" w:cs="Arial"/>
                <w:sz w:val="22"/>
                <w:szCs w:val="22"/>
              </w:rPr>
            </w:pPr>
            <w:r w:rsidRPr="00B77D5D">
              <w:rPr>
                <w:rFonts w:ascii="Arial" w:hAnsi="Arial" w:cs="Arial"/>
                <w:sz w:val="22"/>
                <w:szCs w:val="22"/>
              </w:rPr>
              <w:t>Out of the P11</w:t>
            </w:r>
            <w:r w:rsidR="00A86EBC">
              <w:rPr>
                <w:rFonts w:ascii="Arial" w:hAnsi="Arial" w:cs="Arial"/>
                <w:sz w:val="22"/>
                <w:szCs w:val="22"/>
              </w:rPr>
              <w:t>.</w:t>
            </w:r>
            <w:r w:rsidRPr="00B77D5D">
              <w:rPr>
                <w:rFonts w:ascii="Arial" w:hAnsi="Arial" w:cs="Arial"/>
                <w:sz w:val="22"/>
                <w:szCs w:val="22"/>
              </w:rPr>
              <w:t>29</w:t>
            </w:r>
            <w:r w:rsidR="00A86EBC">
              <w:rPr>
                <w:rFonts w:ascii="Arial" w:hAnsi="Arial" w:cs="Arial"/>
                <w:sz w:val="22"/>
                <w:szCs w:val="22"/>
              </w:rPr>
              <w:t xml:space="preserve">2 million </w:t>
            </w:r>
            <w:r w:rsidRPr="00B77D5D">
              <w:rPr>
                <w:rFonts w:ascii="Arial" w:hAnsi="Arial" w:cs="Arial"/>
                <w:sz w:val="22"/>
                <w:szCs w:val="22"/>
              </w:rPr>
              <w:t xml:space="preserve">noted unreconciled </w:t>
            </w:r>
            <w:r w:rsidR="007E435C">
              <w:rPr>
                <w:rFonts w:ascii="Arial" w:hAnsi="Arial" w:cs="Arial"/>
                <w:sz w:val="22"/>
                <w:szCs w:val="22"/>
              </w:rPr>
              <w:t>variance</w:t>
            </w:r>
            <w:r w:rsidR="007E435C" w:rsidRPr="00B77D5D">
              <w:rPr>
                <w:rFonts w:ascii="Arial" w:hAnsi="Arial" w:cs="Arial"/>
                <w:sz w:val="22"/>
                <w:szCs w:val="22"/>
              </w:rPr>
              <w:t xml:space="preserve"> </w:t>
            </w:r>
            <w:r w:rsidRPr="00B77D5D">
              <w:rPr>
                <w:rFonts w:ascii="Arial" w:hAnsi="Arial" w:cs="Arial"/>
                <w:sz w:val="22"/>
                <w:szCs w:val="22"/>
              </w:rPr>
              <w:t xml:space="preserve">between LBP books and OFB books, only </w:t>
            </w:r>
            <w:r w:rsidR="00A86EBC">
              <w:rPr>
                <w:rFonts w:ascii="Arial" w:hAnsi="Arial" w:cs="Arial"/>
                <w:sz w:val="22"/>
                <w:szCs w:val="22"/>
              </w:rPr>
              <w:t>P1.123 million</w:t>
            </w:r>
            <w:r w:rsidRPr="00B77D5D">
              <w:rPr>
                <w:rFonts w:ascii="Arial" w:hAnsi="Arial" w:cs="Arial"/>
                <w:sz w:val="22"/>
                <w:szCs w:val="22"/>
              </w:rPr>
              <w:t xml:space="preserve"> remains </w:t>
            </w:r>
            <w:r w:rsidR="00A86EBC">
              <w:rPr>
                <w:rFonts w:ascii="Arial" w:hAnsi="Arial" w:cs="Arial"/>
                <w:sz w:val="22"/>
                <w:szCs w:val="22"/>
              </w:rPr>
              <w:t>unreconciled variance as at December 31, 2022.</w:t>
            </w:r>
          </w:p>
          <w:p w14:paraId="54D95DD2" w14:textId="77777777" w:rsidR="003F0C96" w:rsidRDefault="003F0C96" w:rsidP="00E41E5F">
            <w:pPr>
              <w:pStyle w:val="NoSpacing"/>
              <w:tabs>
                <w:tab w:val="left" w:pos="735"/>
              </w:tabs>
              <w:jc w:val="both"/>
              <w:rPr>
                <w:rFonts w:ascii="Arial" w:hAnsi="Arial" w:cs="Arial"/>
                <w:sz w:val="22"/>
                <w:szCs w:val="22"/>
              </w:rPr>
            </w:pPr>
          </w:p>
          <w:p w14:paraId="0541EAF1" w14:textId="71AE86C2" w:rsidR="003F0C96" w:rsidRDefault="003F0C96" w:rsidP="00E41E5F">
            <w:pPr>
              <w:pStyle w:val="NoSpacing"/>
              <w:tabs>
                <w:tab w:val="left" w:pos="735"/>
              </w:tabs>
              <w:jc w:val="both"/>
              <w:rPr>
                <w:rFonts w:ascii="Arial" w:hAnsi="Arial" w:cs="Arial"/>
                <w:sz w:val="22"/>
                <w:szCs w:val="22"/>
              </w:rPr>
            </w:pPr>
          </w:p>
        </w:tc>
      </w:tr>
      <w:tr w:rsidR="003A37B4" w:rsidRPr="00A531C0" w14:paraId="51FA333F" w14:textId="77777777" w:rsidTr="008F3D9D">
        <w:tc>
          <w:tcPr>
            <w:tcW w:w="1675" w:type="dxa"/>
          </w:tcPr>
          <w:p w14:paraId="7BCAEAD7" w14:textId="24E36759" w:rsidR="003A37B4" w:rsidRPr="00E41E5F" w:rsidRDefault="003A37B4" w:rsidP="003A37B4">
            <w:pPr>
              <w:jc w:val="both"/>
              <w:rPr>
                <w:rFonts w:ascii="Arial" w:hAnsi="Arial" w:cs="Arial"/>
                <w:sz w:val="22"/>
                <w:szCs w:val="22"/>
              </w:rPr>
            </w:pPr>
            <w:r>
              <w:rPr>
                <w:rFonts w:ascii="Arial" w:hAnsi="Arial" w:cs="Arial"/>
                <w:sz w:val="22"/>
                <w:szCs w:val="22"/>
              </w:rPr>
              <w:t>CY 2021 AAR AOM No. 2 Pages 41 to 43</w:t>
            </w:r>
          </w:p>
        </w:tc>
        <w:tc>
          <w:tcPr>
            <w:tcW w:w="2136" w:type="dxa"/>
          </w:tcPr>
          <w:p w14:paraId="32A03537" w14:textId="398A79CD" w:rsidR="003A37B4" w:rsidRPr="00386FB5" w:rsidRDefault="003A37B4" w:rsidP="003A37B4">
            <w:pPr>
              <w:pStyle w:val="NoSpacing"/>
              <w:tabs>
                <w:tab w:val="left" w:pos="0"/>
                <w:tab w:val="left" w:pos="530"/>
              </w:tabs>
              <w:jc w:val="both"/>
              <w:rPr>
                <w:rFonts w:ascii="Arial" w:hAnsi="Arial" w:cs="Arial"/>
                <w:sz w:val="22"/>
                <w:szCs w:val="22"/>
              </w:rPr>
            </w:pPr>
            <w:r w:rsidRPr="00386FB5">
              <w:rPr>
                <w:rFonts w:ascii="Arial" w:hAnsi="Arial" w:cs="Arial"/>
                <w:sz w:val="22"/>
                <w:szCs w:val="22"/>
              </w:rPr>
              <w:t xml:space="preserve">The faithful representation of the balance of Miscellaneous Assets account amounting to P10.839 million as at December 31, 2021 was not established due to the inclusion of assets amounting to P3.051 million not supported with documents to ascertain its existence.    </w:t>
            </w:r>
          </w:p>
        </w:tc>
        <w:tc>
          <w:tcPr>
            <w:tcW w:w="2185" w:type="dxa"/>
          </w:tcPr>
          <w:p w14:paraId="65DF4079" w14:textId="487619FB" w:rsidR="003A37B4" w:rsidRPr="00386FB5" w:rsidRDefault="003A37B4" w:rsidP="003A37B4">
            <w:pPr>
              <w:jc w:val="both"/>
              <w:rPr>
                <w:rFonts w:ascii="Arial" w:hAnsi="Arial" w:cs="Arial"/>
                <w:bCs/>
                <w:sz w:val="22"/>
                <w:szCs w:val="22"/>
              </w:rPr>
            </w:pPr>
            <w:r w:rsidRPr="00386FB5">
              <w:rPr>
                <w:rFonts w:ascii="Arial" w:hAnsi="Arial" w:cs="Arial"/>
                <w:bCs/>
                <w:sz w:val="22"/>
                <w:szCs w:val="22"/>
              </w:rPr>
              <w:t>Sustain representation efforts and other appropriate actions taken for the refund to OFB of the payments of security deposits and advance rentals to the lessors and utility companies amounting to P3.051 million</w:t>
            </w:r>
            <w:r w:rsidR="007E435C">
              <w:rPr>
                <w:rFonts w:ascii="Arial" w:hAnsi="Arial" w:cs="Arial"/>
                <w:bCs/>
                <w:sz w:val="22"/>
                <w:szCs w:val="22"/>
              </w:rPr>
              <w:t>.</w:t>
            </w:r>
          </w:p>
          <w:p w14:paraId="40B94310" w14:textId="77777777" w:rsidR="003A37B4" w:rsidRPr="00386FB5" w:rsidRDefault="003A37B4" w:rsidP="003A37B4">
            <w:pPr>
              <w:rPr>
                <w:rFonts w:ascii="Arial" w:hAnsi="Arial" w:cs="Arial"/>
                <w:bCs/>
                <w:sz w:val="22"/>
                <w:szCs w:val="22"/>
              </w:rPr>
            </w:pPr>
          </w:p>
          <w:p w14:paraId="4726433D" w14:textId="4D319C0E" w:rsidR="003A37B4" w:rsidRPr="00386FB5" w:rsidRDefault="003A37B4" w:rsidP="003A37B4">
            <w:pPr>
              <w:jc w:val="both"/>
              <w:rPr>
                <w:rFonts w:ascii="Arial" w:hAnsi="Arial" w:cs="Arial"/>
                <w:bCs/>
                <w:sz w:val="22"/>
                <w:szCs w:val="22"/>
              </w:rPr>
            </w:pPr>
          </w:p>
        </w:tc>
        <w:tc>
          <w:tcPr>
            <w:tcW w:w="2930" w:type="dxa"/>
          </w:tcPr>
          <w:p w14:paraId="6C2C5B36" w14:textId="77777777" w:rsidR="003A37B4" w:rsidRDefault="003A37B4" w:rsidP="003A37B4">
            <w:pPr>
              <w:pStyle w:val="NoSpacing"/>
              <w:tabs>
                <w:tab w:val="left" w:pos="735"/>
              </w:tabs>
              <w:jc w:val="both"/>
              <w:rPr>
                <w:rFonts w:ascii="Arial" w:hAnsi="Arial" w:cs="Arial"/>
                <w:sz w:val="22"/>
                <w:szCs w:val="22"/>
              </w:rPr>
            </w:pPr>
            <w:r>
              <w:rPr>
                <w:rFonts w:ascii="Arial" w:hAnsi="Arial" w:cs="Arial"/>
                <w:sz w:val="22"/>
                <w:szCs w:val="22"/>
              </w:rPr>
              <w:t>Partially implemented.</w:t>
            </w:r>
          </w:p>
          <w:p w14:paraId="25CAB271" w14:textId="77777777" w:rsidR="003A37B4" w:rsidRDefault="003A37B4" w:rsidP="003A37B4">
            <w:pPr>
              <w:pStyle w:val="NoSpacing"/>
              <w:tabs>
                <w:tab w:val="left" w:pos="735"/>
              </w:tabs>
              <w:jc w:val="both"/>
              <w:rPr>
                <w:rFonts w:ascii="Arial" w:hAnsi="Arial" w:cs="Arial"/>
                <w:sz w:val="22"/>
                <w:szCs w:val="22"/>
              </w:rPr>
            </w:pPr>
          </w:p>
          <w:p w14:paraId="13EACD09" w14:textId="623FCB90" w:rsidR="003A37B4" w:rsidRPr="00386FB5" w:rsidRDefault="00676192" w:rsidP="003A37B4">
            <w:pPr>
              <w:pStyle w:val="NoSpacing"/>
              <w:tabs>
                <w:tab w:val="left" w:pos="735"/>
              </w:tabs>
              <w:jc w:val="both"/>
              <w:rPr>
                <w:rFonts w:ascii="Arial" w:hAnsi="Arial" w:cs="Arial"/>
                <w:sz w:val="22"/>
                <w:szCs w:val="22"/>
              </w:rPr>
            </w:pPr>
            <w:r>
              <w:rPr>
                <w:rFonts w:ascii="Arial" w:hAnsi="Arial" w:cs="Arial"/>
                <w:sz w:val="22"/>
                <w:szCs w:val="22"/>
              </w:rPr>
              <w:t>As at December 31, 2022</w:t>
            </w:r>
            <w:r w:rsidR="003A37B4" w:rsidRPr="00386FB5">
              <w:rPr>
                <w:rFonts w:ascii="Arial" w:hAnsi="Arial" w:cs="Arial"/>
                <w:sz w:val="22"/>
                <w:szCs w:val="22"/>
              </w:rPr>
              <w:t xml:space="preserve">, the security deposits and advance rentals to the lessors and utility companies </w:t>
            </w:r>
            <w:r w:rsidR="007E435C">
              <w:rPr>
                <w:rFonts w:ascii="Arial" w:hAnsi="Arial" w:cs="Arial"/>
                <w:sz w:val="22"/>
                <w:szCs w:val="22"/>
              </w:rPr>
              <w:t xml:space="preserve">still </w:t>
            </w:r>
            <w:r w:rsidR="003A37B4" w:rsidRPr="00386FB5">
              <w:rPr>
                <w:rFonts w:ascii="Arial" w:hAnsi="Arial" w:cs="Arial"/>
                <w:sz w:val="22"/>
                <w:szCs w:val="22"/>
              </w:rPr>
              <w:t>for refund amounted to P1</w:t>
            </w:r>
            <w:r w:rsidR="007E435C">
              <w:rPr>
                <w:rFonts w:ascii="Arial" w:hAnsi="Arial" w:cs="Arial"/>
                <w:sz w:val="22"/>
                <w:szCs w:val="22"/>
              </w:rPr>
              <w:t>.</w:t>
            </w:r>
            <w:r w:rsidR="003A37B4" w:rsidRPr="00386FB5">
              <w:rPr>
                <w:rFonts w:ascii="Arial" w:hAnsi="Arial" w:cs="Arial"/>
                <w:sz w:val="22"/>
                <w:szCs w:val="22"/>
              </w:rPr>
              <w:t>94</w:t>
            </w:r>
            <w:r w:rsidR="007E435C">
              <w:rPr>
                <w:rFonts w:ascii="Arial" w:hAnsi="Arial" w:cs="Arial"/>
                <w:sz w:val="22"/>
                <w:szCs w:val="22"/>
              </w:rPr>
              <w:t>7 million.</w:t>
            </w:r>
          </w:p>
          <w:p w14:paraId="31C87C4E" w14:textId="77777777" w:rsidR="003A37B4" w:rsidRPr="00386FB5" w:rsidRDefault="003A37B4" w:rsidP="003A37B4">
            <w:pPr>
              <w:pStyle w:val="NoSpacing"/>
              <w:tabs>
                <w:tab w:val="left" w:pos="735"/>
              </w:tabs>
              <w:jc w:val="both"/>
              <w:rPr>
                <w:rFonts w:ascii="Arial" w:hAnsi="Arial" w:cs="Arial"/>
                <w:sz w:val="22"/>
                <w:szCs w:val="22"/>
              </w:rPr>
            </w:pPr>
          </w:p>
          <w:p w14:paraId="7355925A" w14:textId="77777777" w:rsidR="003A37B4" w:rsidRPr="00386FB5" w:rsidRDefault="003A37B4" w:rsidP="003A37B4">
            <w:pPr>
              <w:pStyle w:val="NoSpacing"/>
              <w:tabs>
                <w:tab w:val="left" w:pos="735"/>
              </w:tabs>
              <w:jc w:val="both"/>
              <w:rPr>
                <w:rFonts w:ascii="Arial" w:hAnsi="Arial" w:cs="Arial"/>
                <w:sz w:val="22"/>
                <w:szCs w:val="22"/>
              </w:rPr>
            </w:pPr>
          </w:p>
          <w:p w14:paraId="34DC749E" w14:textId="77777777" w:rsidR="003A37B4" w:rsidRPr="00386FB5" w:rsidRDefault="003A37B4" w:rsidP="003A37B4">
            <w:pPr>
              <w:pStyle w:val="NoSpacing"/>
              <w:tabs>
                <w:tab w:val="left" w:pos="735"/>
              </w:tabs>
              <w:jc w:val="both"/>
              <w:rPr>
                <w:rFonts w:ascii="Arial" w:hAnsi="Arial" w:cs="Arial"/>
                <w:sz w:val="22"/>
                <w:szCs w:val="22"/>
              </w:rPr>
            </w:pPr>
          </w:p>
          <w:p w14:paraId="1D2D2F09" w14:textId="77777777" w:rsidR="005470C4" w:rsidRDefault="005470C4" w:rsidP="003A37B4">
            <w:pPr>
              <w:pStyle w:val="NoSpacing"/>
              <w:tabs>
                <w:tab w:val="left" w:pos="735"/>
              </w:tabs>
              <w:jc w:val="both"/>
              <w:rPr>
                <w:rFonts w:ascii="Arial" w:hAnsi="Arial" w:cs="Arial"/>
                <w:color w:val="FF0000"/>
                <w:sz w:val="22"/>
                <w:szCs w:val="22"/>
              </w:rPr>
            </w:pPr>
          </w:p>
          <w:p w14:paraId="5F041CD6" w14:textId="77777777" w:rsidR="005470C4" w:rsidRDefault="005470C4" w:rsidP="003A37B4">
            <w:pPr>
              <w:pStyle w:val="NoSpacing"/>
              <w:tabs>
                <w:tab w:val="left" w:pos="735"/>
              </w:tabs>
              <w:jc w:val="both"/>
              <w:rPr>
                <w:rFonts w:ascii="Arial" w:hAnsi="Arial" w:cs="Arial"/>
                <w:color w:val="FF0000"/>
                <w:sz w:val="22"/>
                <w:szCs w:val="22"/>
              </w:rPr>
            </w:pPr>
          </w:p>
          <w:p w14:paraId="2F123803" w14:textId="6744B00D" w:rsidR="003A37B4" w:rsidRPr="00386FB5" w:rsidRDefault="00EF279C" w:rsidP="003A37B4">
            <w:pPr>
              <w:pStyle w:val="NoSpacing"/>
              <w:tabs>
                <w:tab w:val="left" w:pos="735"/>
              </w:tabs>
              <w:jc w:val="both"/>
              <w:rPr>
                <w:rFonts w:ascii="Arial" w:hAnsi="Arial" w:cs="Arial"/>
                <w:sz w:val="22"/>
                <w:szCs w:val="22"/>
              </w:rPr>
            </w:pPr>
            <w:r>
              <w:rPr>
                <w:rFonts w:ascii="Arial" w:hAnsi="Arial" w:cs="Arial"/>
                <w:color w:val="FF0000"/>
                <w:sz w:val="22"/>
                <w:szCs w:val="22"/>
              </w:rPr>
              <w:t xml:space="preserve"> </w:t>
            </w:r>
          </w:p>
          <w:p w14:paraId="146404A4" w14:textId="77777777" w:rsidR="003A37B4" w:rsidRPr="00386FB5" w:rsidRDefault="003A37B4" w:rsidP="003A37B4">
            <w:pPr>
              <w:pStyle w:val="NoSpacing"/>
              <w:tabs>
                <w:tab w:val="left" w:pos="735"/>
              </w:tabs>
              <w:jc w:val="both"/>
              <w:rPr>
                <w:rFonts w:ascii="Arial" w:hAnsi="Arial" w:cs="Arial"/>
                <w:sz w:val="22"/>
                <w:szCs w:val="22"/>
              </w:rPr>
            </w:pPr>
          </w:p>
          <w:p w14:paraId="5C12D221" w14:textId="77777777" w:rsidR="003A37B4" w:rsidRPr="00386FB5" w:rsidRDefault="003A37B4" w:rsidP="003A37B4">
            <w:pPr>
              <w:pStyle w:val="NoSpacing"/>
              <w:tabs>
                <w:tab w:val="left" w:pos="735"/>
              </w:tabs>
              <w:jc w:val="both"/>
              <w:rPr>
                <w:rFonts w:ascii="Arial" w:hAnsi="Arial" w:cs="Arial"/>
                <w:sz w:val="22"/>
                <w:szCs w:val="22"/>
              </w:rPr>
            </w:pPr>
          </w:p>
          <w:p w14:paraId="591431ED" w14:textId="77777777" w:rsidR="003A37B4" w:rsidRPr="00386FB5" w:rsidRDefault="003A37B4" w:rsidP="003A37B4">
            <w:pPr>
              <w:pStyle w:val="NoSpacing"/>
              <w:tabs>
                <w:tab w:val="left" w:pos="735"/>
              </w:tabs>
              <w:jc w:val="both"/>
              <w:rPr>
                <w:rFonts w:ascii="Arial" w:hAnsi="Arial" w:cs="Arial"/>
                <w:sz w:val="22"/>
                <w:szCs w:val="22"/>
              </w:rPr>
            </w:pPr>
          </w:p>
          <w:p w14:paraId="76CC2730" w14:textId="77777777" w:rsidR="003A37B4" w:rsidRPr="00386FB5" w:rsidRDefault="003A37B4" w:rsidP="003A37B4">
            <w:pPr>
              <w:pStyle w:val="NoSpacing"/>
              <w:tabs>
                <w:tab w:val="left" w:pos="735"/>
              </w:tabs>
              <w:jc w:val="both"/>
              <w:rPr>
                <w:rFonts w:ascii="Arial" w:hAnsi="Arial" w:cs="Arial"/>
                <w:sz w:val="22"/>
                <w:szCs w:val="22"/>
              </w:rPr>
            </w:pPr>
          </w:p>
          <w:p w14:paraId="11085154" w14:textId="77777777" w:rsidR="003A37B4" w:rsidRPr="00386FB5" w:rsidRDefault="003A37B4" w:rsidP="003A37B4">
            <w:pPr>
              <w:pStyle w:val="NoSpacing"/>
              <w:tabs>
                <w:tab w:val="left" w:pos="735"/>
              </w:tabs>
              <w:jc w:val="both"/>
              <w:rPr>
                <w:rFonts w:ascii="Arial" w:hAnsi="Arial" w:cs="Arial"/>
                <w:sz w:val="22"/>
                <w:szCs w:val="22"/>
              </w:rPr>
            </w:pPr>
          </w:p>
          <w:p w14:paraId="0724C4C8" w14:textId="77777777" w:rsidR="003A37B4" w:rsidRPr="00386FB5" w:rsidRDefault="003A37B4" w:rsidP="003A37B4">
            <w:pPr>
              <w:pStyle w:val="NoSpacing"/>
              <w:tabs>
                <w:tab w:val="left" w:pos="735"/>
              </w:tabs>
              <w:jc w:val="both"/>
              <w:rPr>
                <w:rFonts w:ascii="Arial" w:hAnsi="Arial" w:cs="Arial"/>
                <w:sz w:val="22"/>
                <w:szCs w:val="22"/>
              </w:rPr>
            </w:pPr>
          </w:p>
          <w:p w14:paraId="289DE827" w14:textId="77777777" w:rsidR="003A37B4" w:rsidRPr="00386FB5" w:rsidRDefault="003A37B4" w:rsidP="003A37B4">
            <w:pPr>
              <w:pStyle w:val="NoSpacing"/>
              <w:tabs>
                <w:tab w:val="left" w:pos="735"/>
              </w:tabs>
              <w:jc w:val="both"/>
              <w:rPr>
                <w:rFonts w:ascii="Arial" w:hAnsi="Arial" w:cs="Arial"/>
                <w:sz w:val="22"/>
                <w:szCs w:val="22"/>
              </w:rPr>
            </w:pPr>
          </w:p>
          <w:p w14:paraId="4CDFDC2F" w14:textId="77777777" w:rsidR="003A37B4" w:rsidRPr="00386FB5" w:rsidRDefault="003A37B4" w:rsidP="003A37B4">
            <w:pPr>
              <w:pStyle w:val="NoSpacing"/>
              <w:tabs>
                <w:tab w:val="left" w:pos="735"/>
              </w:tabs>
              <w:jc w:val="both"/>
              <w:rPr>
                <w:rFonts w:ascii="Arial" w:hAnsi="Arial" w:cs="Arial"/>
                <w:sz w:val="22"/>
                <w:szCs w:val="22"/>
              </w:rPr>
            </w:pPr>
          </w:p>
          <w:p w14:paraId="430EE3DF" w14:textId="77777777" w:rsidR="003A37B4" w:rsidRPr="00386FB5" w:rsidRDefault="003A37B4" w:rsidP="003A37B4">
            <w:pPr>
              <w:pStyle w:val="NoSpacing"/>
              <w:tabs>
                <w:tab w:val="left" w:pos="735"/>
              </w:tabs>
              <w:jc w:val="both"/>
              <w:rPr>
                <w:rFonts w:ascii="Arial" w:hAnsi="Arial" w:cs="Arial"/>
                <w:sz w:val="22"/>
                <w:szCs w:val="22"/>
              </w:rPr>
            </w:pPr>
          </w:p>
          <w:p w14:paraId="21EE6735" w14:textId="204DF4E8" w:rsidR="003A37B4" w:rsidRPr="00386FB5" w:rsidRDefault="003A37B4" w:rsidP="003A37B4">
            <w:pPr>
              <w:pStyle w:val="NoSpacing"/>
              <w:tabs>
                <w:tab w:val="left" w:pos="735"/>
              </w:tabs>
              <w:jc w:val="both"/>
              <w:rPr>
                <w:rFonts w:ascii="Arial" w:hAnsi="Arial" w:cs="Arial"/>
                <w:sz w:val="22"/>
                <w:szCs w:val="22"/>
              </w:rPr>
            </w:pPr>
          </w:p>
        </w:tc>
      </w:tr>
      <w:tr w:rsidR="003A37B4" w:rsidRPr="00A531C0" w14:paraId="2722B42C" w14:textId="77777777" w:rsidTr="008F3D9D">
        <w:tc>
          <w:tcPr>
            <w:tcW w:w="1675" w:type="dxa"/>
          </w:tcPr>
          <w:p w14:paraId="1E08B87B" w14:textId="7D08BBC0" w:rsidR="003A37B4" w:rsidRPr="00A531C0" w:rsidRDefault="003A37B4" w:rsidP="003A37B4">
            <w:pPr>
              <w:jc w:val="both"/>
              <w:rPr>
                <w:rFonts w:ascii="Arial" w:hAnsi="Arial" w:cs="Arial"/>
                <w:sz w:val="22"/>
                <w:szCs w:val="22"/>
              </w:rPr>
            </w:pPr>
            <w:r>
              <w:rPr>
                <w:rFonts w:ascii="Arial" w:hAnsi="Arial" w:cs="Arial"/>
                <w:sz w:val="22"/>
                <w:szCs w:val="22"/>
              </w:rPr>
              <w:lastRenderedPageBreak/>
              <w:t>CY 2021 AAR AOM No. 3 Pages 43 to 46</w:t>
            </w:r>
          </w:p>
        </w:tc>
        <w:tc>
          <w:tcPr>
            <w:tcW w:w="2136" w:type="dxa"/>
          </w:tcPr>
          <w:p w14:paraId="4F99F956" w14:textId="666DB3D4" w:rsidR="003A37B4" w:rsidRPr="003A37B4" w:rsidRDefault="003A37B4" w:rsidP="003A37B4">
            <w:pPr>
              <w:pStyle w:val="NoSpacing"/>
              <w:tabs>
                <w:tab w:val="left" w:pos="0"/>
                <w:tab w:val="left" w:pos="530"/>
              </w:tabs>
              <w:jc w:val="both"/>
              <w:rPr>
                <w:rFonts w:ascii="Arial" w:hAnsi="Arial" w:cs="Arial"/>
                <w:sz w:val="22"/>
                <w:szCs w:val="22"/>
              </w:rPr>
            </w:pPr>
            <w:r w:rsidRPr="003A37B4">
              <w:rPr>
                <w:rFonts w:ascii="Arial" w:hAnsi="Arial" w:cs="Arial"/>
                <w:sz w:val="22"/>
                <w:szCs w:val="22"/>
              </w:rPr>
              <w:t xml:space="preserve">Accounts Payables- Others totaling P6.376 million were left outstanding from over one year to 15 years and against which no actual claim, administrative or judicial, has been filed or for some payables are not covered by perfected contracts on record due to the absence of guidelines on their settlement or disposition, contrary to Section 98 of Presidential Decree </w:t>
            </w:r>
            <w:r w:rsidR="000A62AC">
              <w:rPr>
                <w:rFonts w:ascii="Arial" w:hAnsi="Arial" w:cs="Arial"/>
                <w:sz w:val="22"/>
                <w:szCs w:val="22"/>
              </w:rPr>
              <w:t xml:space="preserve">(PD) </w:t>
            </w:r>
            <w:r w:rsidRPr="003A37B4">
              <w:rPr>
                <w:rFonts w:ascii="Arial" w:hAnsi="Arial" w:cs="Arial"/>
                <w:sz w:val="22"/>
                <w:szCs w:val="22"/>
              </w:rPr>
              <w:t>No. 1445.</w:t>
            </w:r>
          </w:p>
        </w:tc>
        <w:tc>
          <w:tcPr>
            <w:tcW w:w="2185" w:type="dxa"/>
          </w:tcPr>
          <w:p w14:paraId="60FF29FD" w14:textId="5691E2E1" w:rsidR="003A37B4" w:rsidRPr="003A37B4" w:rsidRDefault="003A37B4" w:rsidP="003A37B4">
            <w:pPr>
              <w:pStyle w:val="NoSpacing"/>
              <w:jc w:val="both"/>
              <w:rPr>
                <w:rFonts w:ascii="Arial" w:hAnsi="Arial" w:cs="Arial"/>
                <w:bCs/>
                <w:sz w:val="22"/>
                <w:szCs w:val="22"/>
              </w:rPr>
            </w:pPr>
            <w:r w:rsidRPr="003A37B4">
              <w:rPr>
                <w:rFonts w:ascii="Arial" w:hAnsi="Arial" w:cs="Arial"/>
                <w:bCs/>
                <w:sz w:val="22"/>
                <w:szCs w:val="22"/>
              </w:rPr>
              <w:t>Complete the validation of records and supporting documents of salary loan payments, performance bond/bid security and other payables, including payables with negative balances, and process their disposition or settlement.</w:t>
            </w:r>
          </w:p>
        </w:tc>
        <w:tc>
          <w:tcPr>
            <w:tcW w:w="2930" w:type="dxa"/>
          </w:tcPr>
          <w:p w14:paraId="2CAC8B99" w14:textId="11591ECB" w:rsidR="003A37B4" w:rsidRDefault="003A37B4" w:rsidP="003A37B4">
            <w:pPr>
              <w:pStyle w:val="Title"/>
              <w:jc w:val="both"/>
              <w:rPr>
                <w:b w:val="0"/>
                <w:sz w:val="22"/>
                <w:szCs w:val="22"/>
              </w:rPr>
            </w:pPr>
            <w:r w:rsidRPr="003A37B4">
              <w:rPr>
                <w:b w:val="0"/>
                <w:sz w:val="22"/>
                <w:szCs w:val="22"/>
              </w:rPr>
              <w:t xml:space="preserve">Partially Implemented. </w:t>
            </w:r>
          </w:p>
          <w:p w14:paraId="22FF11BD" w14:textId="2E5837C8" w:rsidR="001518CD" w:rsidRDefault="001518CD" w:rsidP="003A37B4">
            <w:pPr>
              <w:pStyle w:val="Title"/>
              <w:jc w:val="both"/>
              <w:rPr>
                <w:b w:val="0"/>
                <w:sz w:val="22"/>
                <w:szCs w:val="22"/>
              </w:rPr>
            </w:pPr>
          </w:p>
          <w:p w14:paraId="0960CF5F" w14:textId="322FD54D" w:rsidR="001518CD" w:rsidRDefault="003E64DA" w:rsidP="003A37B4">
            <w:pPr>
              <w:pStyle w:val="Title"/>
              <w:jc w:val="both"/>
              <w:rPr>
                <w:b w:val="0"/>
                <w:sz w:val="22"/>
                <w:szCs w:val="22"/>
              </w:rPr>
            </w:pPr>
            <w:r>
              <w:rPr>
                <w:b w:val="0"/>
                <w:sz w:val="22"/>
                <w:szCs w:val="22"/>
              </w:rPr>
              <w:t>As at December 31, 2022, t</w:t>
            </w:r>
            <w:r w:rsidR="00DA5C21">
              <w:rPr>
                <w:b w:val="0"/>
                <w:sz w:val="22"/>
                <w:szCs w:val="22"/>
              </w:rPr>
              <w:t>he</w:t>
            </w:r>
            <w:r w:rsidR="000574EA">
              <w:rPr>
                <w:b w:val="0"/>
                <w:sz w:val="22"/>
                <w:szCs w:val="22"/>
              </w:rPr>
              <w:t xml:space="preserve"> total amount</w:t>
            </w:r>
            <w:r w:rsidR="00DA5C21">
              <w:rPr>
                <w:b w:val="0"/>
                <w:sz w:val="22"/>
                <w:szCs w:val="22"/>
              </w:rPr>
              <w:t xml:space="preserve"> of</w:t>
            </w:r>
            <w:r w:rsidR="000574EA">
              <w:rPr>
                <w:b w:val="0"/>
                <w:sz w:val="22"/>
                <w:szCs w:val="22"/>
              </w:rPr>
              <w:t xml:space="preserve"> P</w:t>
            </w:r>
            <w:r w:rsidR="000574EA" w:rsidRPr="000574EA">
              <w:rPr>
                <w:b w:val="0"/>
                <w:sz w:val="22"/>
                <w:szCs w:val="22"/>
              </w:rPr>
              <w:t>217,503</w:t>
            </w:r>
            <w:r w:rsidR="000574EA">
              <w:rPr>
                <w:b w:val="0"/>
                <w:sz w:val="22"/>
                <w:szCs w:val="22"/>
              </w:rPr>
              <w:t xml:space="preserve"> </w:t>
            </w:r>
            <w:r w:rsidR="00676192">
              <w:rPr>
                <w:b w:val="0"/>
                <w:sz w:val="22"/>
                <w:szCs w:val="22"/>
              </w:rPr>
              <w:t xml:space="preserve">have been </w:t>
            </w:r>
            <w:r w:rsidR="000574EA">
              <w:rPr>
                <w:b w:val="0"/>
                <w:sz w:val="22"/>
                <w:szCs w:val="22"/>
              </w:rPr>
              <w:t>resolved/</w:t>
            </w:r>
            <w:r w:rsidR="00DA5C21">
              <w:rPr>
                <w:b w:val="0"/>
                <w:sz w:val="22"/>
                <w:szCs w:val="22"/>
              </w:rPr>
              <w:t xml:space="preserve"> </w:t>
            </w:r>
            <w:r w:rsidR="000574EA">
              <w:rPr>
                <w:b w:val="0"/>
                <w:sz w:val="22"/>
                <w:szCs w:val="22"/>
              </w:rPr>
              <w:t>adjuste</w:t>
            </w:r>
            <w:r w:rsidR="005F72C8">
              <w:rPr>
                <w:b w:val="0"/>
                <w:sz w:val="22"/>
                <w:szCs w:val="22"/>
              </w:rPr>
              <w:t>d</w:t>
            </w:r>
            <w:r w:rsidR="00DA5C21">
              <w:rPr>
                <w:b w:val="0"/>
                <w:sz w:val="22"/>
                <w:szCs w:val="22"/>
              </w:rPr>
              <w:t xml:space="preserve">; </w:t>
            </w:r>
            <w:r w:rsidR="000574EA">
              <w:rPr>
                <w:b w:val="0"/>
                <w:sz w:val="22"/>
                <w:szCs w:val="22"/>
              </w:rPr>
              <w:t>P</w:t>
            </w:r>
            <w:r w:rsidR="00DA5C21">
              <w:rPr>
                <w:b w:val="0"/>
                <w:sz w:val="22"/>
                <w:szCs w:val="22"/>
              </w:rPr>
              <w:t>0.</w:t>
            </w:r>
            <w:r w:rsidR="000574EA" w:rsidRPr="000574EA">
              <w:rPr>
                <w:b w:val="0"/>
                <w:sz w:val="22"/>
                <w:szCs w:val="22"/>
              </w:rPr>
              <w:t>990</w:t>
            </w:r>
            <w:r w:rsidR="00DA5C21">
              <w:rPr>
                <w:b w:val="0"/>
                <w:sz w:val="22"/>
                <w:szCs w:val="22"/>
              </w:rPr>
              <w:t xml:space="preserve"> million </w:t>
            </w:r>
            <w:r w:rsidR="000574EA">
              <w:rPr>
                <w:b w:val="0"/>
                <w:sz w:val="22"/>
                <w:szCs w:val="22"/>
              </w:rPr>
              <w:t>remained unreconcile</w:t>
            </w:r>
            <w:r w:rsidR="005F72C8">
              <w:rPr>
                <w:b w:val="0"/>
                <w:sz w:val="22"/>
                <w:szCs w:val="22"/>
              </w:rPr>
              <w:t>d, while P5</w:t>
            </w:r>
            <w:r w:rsidR="00DA5C21">
              <w:rPr>
                <w:b w:val="0"/>
                <w:sz w:val="22"/>
                <w:szCs w:val="22"/>
              </w:rPr>
              <w:t>.</w:t>
            </w:r>
            <w:r w:rsidR="005F72C8">
              <w:rPr>
                <w:b w:val="0"/>
                <w:sz w:val="22"/>
                <w:szCs w:val="22"/>
              </w:rPr>
              <w:t>168</w:t>
            </w:r>
            <w:r w:rsidR="00DA5C21">
              <w:rPr>
                <w:b w:val="0"/>
                <w:sz w:val="22"/>
                <w:szCs w:val="22"/>
              </w:rPr>
              <w:t xml:space="preserve"> million</w:t>
            </w:r>
            <w:r w:rsidR="005F72C8">
              <w:rPr>
                <w:b w:val="0"/>
                <w:sz w:val="22"/>
                <w:szCs w:val="22"/>
              </w:rPr>
              <w:t xml:space="preserve"> were reconciled</w:t>
            </w:r>
            <w:r w:rsidR="000A62AC">
              <w:rPr>
                <w:b w:val="0"/>
                <w:sz w:val="22"/>
                <w:szCs w:val="22"/>
              </w:rPr>
              <w:t xml:space="preserve"> and </w:t>
            </w:r>
            <w:r w:rsidR="005F72C8">
              <w:rPr>
                <w:b w:val="0"/>
                <w:sz w:val="22"/>
                <w:szCs w:val="22"/>
              </w:rPr>
              <w:t>validated with records and supporting documents</w:t>
            </w:r>
            <w:r w:rsidR="002B72EE">
              <w:rPr>
                <w:b w:val="0"/>
                <w:sz w:val="22"/>
                <w:szCs w:val="22"/>
              </w:rPr>
              <w:t xml:space="preserve"> by Management</w:t>
            </w:r>
            <w:r w:rsidR="000404EE">
              <w:rPr>
                <w:b w:val="0"/>
                <w:sz w:val="22"/>
                <w:szCs w:val="22"/>
              </w:rPr>
              <w:t xml:space="preserve"> </w:t>
            </w:r>
            <w:r w:rsidR="00676192">
              <w:rPr>
                <w:b w:val="0"/>
                <w:sz w:val="22"/>
                <w:szCs w:val="22"/>
              </w:rPr>
              <w:t>and</w:t>
            </w:r>
            <w:r w:rsidR="005F72C8">
              <w:rPr>
                <w:b w:val="0"/>
                <w:sz w:val="22"/>
                <w:szCs w:val="22"/>
              </w:rPr>
              <w:t xml:space="preserve"> are for reversal to Miscellaneous Income</w:t>
            </w:r>
            <w:r w:rsidR="00676192">
              <w:rPr>
                <w:b w:val="0"/>
                <w:sz w:val="22"/>
                <w:szCs w:val="22"/>
              </w:rPr>
              <w:t>,</w:t>
            </w:r>
            <w:r w:rsidR="005F72C8">
              <w:rPr>
                <w:b w:val="0"/>
                <w:sz w:val="22"/>
                <w:szCs w:val="22"/>
              </w:rPr>
              <w:t xml:space="preserve"> pursuant to the Bank’s approved guidelines. </w:t>
            </w:r>
          </w:p>
          <w:p w14:paraId="1232FD67" w14:textId="49300633" w:rsidR="000574EA" w:rsidRDefault="000574EA" w:rsidP="003A37B4">
            <w:pPr>
              <w:pStyle w:val="Title"/>
              <w:jc w:val="both"/>
              <w:rPr>
                <w:b w:val="0"/>
                <w:sz w:val="22"/>
                <w:szCs w:val="22"/>
              </w:rPr>
            </w:pPr>
          </w:p>
          <w:p w14:paraId="526AABB1" w14:textId="77777777" w:rsidR="000574EA" w:rsidRPr="003A37B4" w:rsidRDefault="000574EA" w:rsidP="003A37B4">
            <w:pPr>
              <w:pStyle w:val="Title"/>
              <w:jc w:val="both"/>
              <w:rPr>
                <w:b w:val="0"/>
                <w:sz w:val="22"/>
                <w:szCs w:val="22"/>
              </w:rPr>
            </w:pPr>
          </w:p>
          <w:p w14:paraId="37FAAF45" w14:textId="77777777" w:rsidR="003A37B4" w:rsidRPr="003A37B4" w:rsidRDefault="003A37B4" w:rsidP="003A37B4">
            <w:pPr>
              <w:pStyle w:val="NoSpacing"/>
              <w:tabs>
                <w:tab w:val="left" w:pos="735"/>
              </w:tabs>
              <w:jc w:val="both"/>
              <w:rPr>
                <w:rFonts w:ascii="Arial" w:hAnsi="Arial" w:cs="Arial"/>
                <w:sz w:val="22"/>
                <w:szCs w:val="22"/>
              </w:rPr>
            </w:pPr>
          </w:p>
        </w:tc>
      </w:tr>
      <w:tr w:rsidR="00C105F9" w:rsidRPr="00A531C0" w14:paraId="34630981" w14:textId="77777777" w:rsidTr="008F3D9D">
        <w:tc>
          <w:tcPr>
            <w:tcW w:w="1675" w:type="dxa"/>
          </w:tcPr>
          <w:p w14:paraId="064751AD" w14:textId="66E3DF89" w:rsidR="00C105F9" w:rsidRDefault="00C105F9" w:rsidP="003A37B4">
            <w:pPr>
              <w:jc w:val="both"/>
              <w:rPr>
                <w:rFonts w:ascii="Arial" w:hAnsi="Arial" w:cs="Arial"/>
                <w:sz w:val="22"/>
                <w:szCs w:val="22"/>
              </w:rPr>
            </w:pPr>
            <w:r w:rsidRPr="00C105F9">
              <w:rPr>
                <w:rFonts w:ascii="Arial" w:hAnsi="Arial" w:cs="Arial"/>
                <w:sz w:val="22"/>
                <w:szCs w:val="22"/>
              </w:rPr>
              <w:t>CY 2021 AAR AOM</w:t>
            </w:r>
            <w:r>
              <w:rPr>
                <w:rFonts w:ascii="Arial" w:hAnsi="Arial" w:cs="Arial"/>
                <w:sz w:val="22"/>
                <w:szCs w:val="22"/>
              </w:rPr>
              <w:t xml:space="preserve"> No. 4 Pages 46 to 49</w:t>
            </w:r>
          </w:p>
        </w:tc>
        <w:tc>
          <w:tcPr>
            <w:tcW w:w="2136" w:type="dxa"/>
          </w:tcPr>
          <w:p w14:paraId="791502C1" w14:textId="2C815329" w:rsidR="00C105F9" w:rsidRPr="003A37B4" w:rsidRDefault="00C105F9" w:rsidP="003A37B4">
            <w:pPr>
              <w:pStyle w:val="NoSpacing"/>
              <w:tabs>
                <w:tab w:val="left" w:pos="0"/>
                <w:tab w:val="left" w:pos="530"/>
              </w:tabs>
              <w:jc w:val="both"/>
              <w:rPr>
                <w:rFonts w:ascii="Arial" w:hAnsi="Arial" w:cs="Arial"/>
                <w:sz w:val="22"/>
                <w:szCs w:val="22"/>
              </w:rPr>
            </w:pPr>
            <w:r w:rsidRPr="00C105F9">
              <w:rPr>
                <w:rFonts w:ascii="Arial" w:hAnsi="Arial" w:cs="Arial"/>
                <w:sz w:val="22"/>
                <w:szCs w:val="22"/>
              </w:rPr>
              <w:t>Receivables amounting to P1.463 million aged over one year to 21 years were not collected due to the absence of OFB policies and guidelines in handling receivables contrary to Section 2 of PD No. 1445 and COA Circular No. 2016-005.</w:t>
            </w:r>
          </w:p>
        </w:tc>
        <w:tc>
          <w:tcPr>
            <w:tcW w:w="2185" w:type="dxa"/>
          </w:tcPr>
          <w:p w14:paraId="20BA5608" w14:textId="77777777" w:rsidR="00C105F9" w:rsidRPr="00C105F9" w:rsidRDefault="00C105F9" w:rsidP="00C105F9">
            <w:pPr>
              <w:pStyle w:val="NoSpacing"/>
              <w:jc w:val="both"/>
              <w:rPr>
                <w:rFonts w:ascii="Arial" w:hAnsi="Arial" w:cs="Arial"/>
                <w:bCs/>
                <w:sz w:val="22"/>
                <w:szCs w:val="22"/>
              </w:rPr>
            </w:pPr>
            <w:r w:rsidRPr="00C105F9">
              <w:rPr>
                <w:rFonts w:ascii="Arial" w:hAnsi="Arial" w:cs="Arial"/>
                <w:bCs/>
                <w:sz w:val="22"/>
                <w:szCs w:val="22"/>
              </w:rPr>
              <w:t>Evaluate and identify dormant receivable accounts in which collectability proved to be futile after exhausting all possible means to collect and file a request for authority to write-off to the Commission on Audit pursuant to COA Circular No. 2016-005; and</w:t>
            </w:r>
          </w:p>
          <w:p w14:paraId="71282674" w14:textId="77777777" w:rsidR="00C105F9" w:rsidRPr="00C105F9" w:rsidRDefault="00C105F9" w:rsidP="00C105F9">
            <w:pPr>
              <w:pStyle w:val="NoSpacing"/>
              <w:jc w:val="both"/>
              <w:rPr>
                <w:rFonts w:ascii="Arial" w:hAnsi="Arial" w:cs="Arial"/>
                <w:bCs/>
                <w:sz w:val="22"/>
                <w:szCs w:val="22"/>
              </w:rPr>
            </w:pPr>
          </w:p>
          <w:p w14:paraId="3617AD0F" w14:textId="22BF3E02" w:rsidR="00C105F9" w:rsidRPr="003A37B4" w:rsidRDefault="00C105F9" w:rsidP="00C105F9">
            <w:pPr>
              <w:pStyle w:val="NoSpacing"/>
              <w:jc w:val="both"/>
              <w:rPr>
                <w:rFonts w:ascii="Arial" w:hAnsi="Arial" w:cs="Arial"/>
                <w:bCs/>
                <w:sz w:val="22"/>
                <w:szCs w:val="22"/>
              </w:rPr>
            </w:pPr>
          </w:p>
        </w:tc>
        <w:tc>
          <w:tcPr>
            <w:tcW w:w="2930" w:type="dxa"/>
          </w:tcPr>
          <w:p w14:paraId="49A66C80" w14:textId="77777777" w:rsidR="00A54EEE" w:rsidRDefault="006B6EEE" w:rsidP="006B6EEE">
            <w:pPr>
              <w:pStyle w:val="Title"/>
              <w:jc w:val="both"/>
              <w:rPr>
                <w:b w:val="0"/>
                <w:sz w:val="22"/>
                <w:szCs w:val="22"/>
              </w:rPr>
            </w:pPr>
            <w:r w:rsidRPr="006B6EEE">
              <w:rPr>
                <w:b w:val="0"/>
                <w:sz w:val="22"/>
                <w:szCs w:val="22"/>
              </w:rPr>
              <w:t>Partially Implemented.</w:t>
            </w:r>
          </w:p>
          <w:p w14:paraId="7E0C5B7F" w14:textId="51767D01" w:rsidR="006B6EEE" w:rsidRPr="006B6EEE" w:rsidRDefault="006B6EEE" w:rsidP="006B6EEE">
            <w:pPr>
              <w:pStyle w:val="Title"/>
              <w:jc w:val="both"/>
              <w:rPr>
                <w:b w:val="0"/>
                <w:sz w:val="22"/>
                <w:szCs w:val="22"/>
              </w:rPr>
            </w:pPr>
            <w:r w:rsidRPr="006B6EEE">
              <w:rPr>
                <w:b w:val="0"/>
                <w:sz w:val="22"/>
                <w:szCs w:val="22"/>
              </w:rPr>
              <w:t xml:space="preserve"> </w:t>
            </w:r>
          </w:p>
          <w:p w14:paraId="4556F789" w14:textId="7A52B9A0" w:rsidR="00C105F9" w:rsidRPr="003A37B4" w:rsidRDefault="003E64DA" w:rsidP="006B6EEE">
            <w:pPr>
              <w:pStyle w:val="Title"/>
              <w:jc w:val="both"/>
              <w:rPr>
                <w:b w:val="0"/>
                <w:sz w:val="22"/>
                <w:szCs w:val="22"/>
              </w:rPr>
            </w:pPr>
            <w:r>
              <w:rPr>
                <w:b w:val="0"/>
                <w:sz w:val="22"/>
                <w:szCs w:val="22"/>
              </w:rPr>
              <w:t>The</w:t>
            </w:r>
            <w:r w:rsidR="006B6EEE">
              <w:rPr>
                <w:b w:val="0"/>
                <w:sz w:val="22"/>
                <w:szCs w:val="22"/>
              </w:rPr>
              <w:t xml:space="preserve"> total amount</w:t>
            </w:r>
            <w:r>
              <w:rPr>
                <w:b w:val="0"/>
                <w:sz w:val="22"/>
                <w:szCs w:val="22"/>
              </w:rPr>
              <w:t xml:space="preserve"> of</w:t>
            </w:r>
            <w:r w:rsidR="006B6EEE">
              <w:rPr>
                <w:b w:val="0"/>
                <w:sz w:val="22"/>
                <w:szCs w:val="22"/>
              </w:rPr>
              <w:t xml:space="preserve"> </w:t>
            </w:r>
            <w:r w:rsidR="006B6EEE" w:rsidRPr="006B6EEE">
              <w:rPr>
                <w:b w:val="0"/>
                <w:sz w:val="22"/>
                <w:szCs w:val="22"/>
              </w:rPr>
              <w:t>P4,276</w:t>
            </w:r>
            <w:r w:rsidR="006B6EEE">
              <w:rPr>
                <w:b w:val="0"/>
                <w:sz w:val="22"/>
                <w:szCs w:val="22"/>
              </w:rPr>
              <w:t xml:space="preserve"> was collected</w:t>
            </w:r>
            <w:r w:rsidR="006B6EEE" w:rsidRPr="006B6EEE">
              <w:rPr>
                <w:b w:val="0"/>
                <w:sz w:val="22"/>
                <w:szCs w:val="22"/>
              </w:rPr>
              <w:t xml:space="preserve"> </w:t>
            </w:r>
            <w:r w:rsidR="00676192">
              <w:rPr>
                <w:b w:val="0"/>
                <w:sz w:val="22"/>
                <w:szCs w:val="22"/>
              </w:rPr>
              <w:t>in</w:t>
            </w:r>
            <w:r w:rsidR="00676192" w:rsidRPr="006B6EEE">
              <w:rPr>
                <w:b w:val="0"/>
                <w:sz w:val="22"/>
                <w:szCs w:val="22"/>
              </w:rPr>
              <w:t xml:space="preserve"> </w:t>
            </w:r>
            <w:r w:rsidR="006B6EEE" w:rsidRPr="006B6EEE">
              <w:rPr>
                <w:b w:val="0"/>
                <w:sz w:val="22"/>
                <w:szCs w:val="22"/>
              </w:rPr>
              <w:t>January 2023</w:t>
            </w:r>
            <w:r w:rsidR="001518CD">
              <w:rPr>
                <w:b w:val="0"/>
                <w:sz w:val="22"/>
                <w:szCs w:val="22"/>
              </w:rPr>
              <w:t xml:space="preserve">, while </w:t>
            </w:r>
            <w:r w:rsidR="006B6EEE" w:rsidRPr="006B6EEE">
              <w:rPr>
                <w:b w:val="0"/>
                <w:sz w:val="22"/>
                <w:szCs w:val="22"/>
              </w:rPr>
              <w:t>P</w:t>
            </w:r>
            <w:r>
              <w:rPr>
                <w:b w:val="0"/>
                <w:sz w:val="22"/>
                <w:szCs w:val="22"/>
              </w:rPr>
              <w:t>0.</w:t>
            </w:r>
            <w:r w:rsidR="006B6EEE" w:rsidRPr="006B6EEE">
              <w:rPr>
                <w:b w:val="0"/>
                <w:sz w:val="22"/>
                <w:szCs w:val="22"/>
              </w:rPr>
              <w:t>87</w:t>
            </w:r>
            <w:r>
              <w:rPr>
                <w:b w:val="0"/>
                <w:sz w:val="22"/>
                <w:szCs w:val="22"/>
              </w:rPr>
              <w:t>7 million</w:t>
            </w:r>
            <w:r w:rsidR="006B6EEE" w:rsidRPr="006B6EEE">
              <w:rPr>
                <w:b w:val="0"/>
                <w:sz w:val="22"/>
                <w:szCs w:val="22"/>
              </w:rPr>
              <w:t xml:space="preserve"> outstanding for over 11 years and collectability proved to be futile, </w:t>
            </w:r>
            <w:r w:rsidR="00676192">
              <w:rPr>
                <w:b w:val="0"/>
                <w:sz w:val="22"/>
                <w:szCs w:val="22"/>
              </w:rPr>
              <w:t>were</w:t>
            </w:r>
            <w:r w:rsidR="00676192" w:rsidRPr="006B6EEE">
              <w:rPr>
                <w:b w:val="0"/>
                <w:sz w:val="22"/>
                <w:szCs w:val="22"/>
              </w:rPr>
              <w:t xml:space="preserve"> </w:t>
            </w:r>
            <w:r w:rsidR="006B6EEE" w:rsidRPr="006B6EEE">
              <w:rPr>
                <w:b w:val="0"/>
                <w:sz w:val="22"/>
                <w:szCs w:val="22"/>
              </w:rPr>
              <w:t>recommended for write-off in March 2023.</w:t>
            </w:r>
          </w:p>
        </w:tc>
      </w:tr>
    </w:tbl>
    <w:p w14:paraId="501E60CC" w14:textId="69FCAD1E" w:rsidR="00252E46" w:rsidRDefault="00252E46" w:rsidP="00CE362C">
      <w:pPr>
        <w:pStyle w:val="NoSpacing"/>
      </w:pPr>
    </w:p>
    <w:p w14:paraId="05E1A588" w14:textId="77777777" w:rsidR="00252E46" w:rsidRPr="00252E46" w:rsidRDefault="00252E46" w:rsidP="00B77D5D"/>
    <w:p w14:paraId="312EC95E" w14:textId="77777777" w:rsidR="00252E46" w:rsidRPr="00252E46" w:rsidRDefault="00252E46" w:rsidP="00B77D5D"/>
    <w:p w14:paraId="0FF89DB8" w14:textId="77777777" w:rsidR="00252E46" w:rsidRPr="00252E46" w:rsidRDefault="00252E46" w:rsidP="00B77D5D"/>
    <w:p w14:paraId="2C578D2B" w14:textId="77777777" w:rsidR="00252E46" w:rsidRPr="00252E46" w:rsidRDefault="00252E46" w:rsidP="00B77D5D"/>
    <w:p w14:paraId="1D8A461F" w14:textId="35CF812A" w:rsidR="00252E46" w:rsidRDefault="00252E46" w:rsidP="00252E46"/>
    <w:p w14:paraId="749AFA3A" w14:textId="787E7854" w:rsidR="00C36FB0" w:rsidRPr="00252E46" w:rsidRDefault="00252E46" w:rsidP="00B77D5D">
      <w:pPr>
        <w:tabs>
          <w:tab w:val="left" w:pos="2727"/>
        </w:tabs>
      </w:pPr>
      <w:r>
        <w:tab/>
      </w:r>
    </w:p>
    <w:sectPr w:rsidR="00C36FB0" w:rsidRPr="00252E46" w:rsidSect="00F057E5">
      <w:footerReference w:type="default" r:id="rId8"/>
      <w:pgSz w:w="12240" w:h="15840" w:code="1"/>
      <w:pgMar w:top="1440" w:right="1440" w:bottom="1440" w:left="2160" w:header="720" w:footer="288" w:gutter="0"/>
      <w:paperSrc w:first="4" w:other="4"/>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730E4" w14:textId="77777777" w:rsidR="004878EA" w:rsidRDefault="004878EA" w:rsidP="00B555F3">
      <w:r>
        <w:separator/>
      </w:r>
    </w:p>
  </w:endnote>
  <w:endnote w:type="continuationSeparator" w:id="0">
    <w:p w14:paraId="27C70AC3" w14:textId="77777777" w:rsidR="004878EA" w:rsidRDefault="004878EA" w:rsidP="00B5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22804"/>
      <w:docPartObj>
        <w:docPartGallery w:val="Page Numbers (Bottom of Page)"/>
        <w:docPartUnique/>
      </w:docPartObj>
    </w:sdtPr>
    <w:sdtEndPr>
      <w:rPr>
        <w:noProof/>
      </w:rPr>
    </w:sdtEndPr>
    <w:sdtContent>
      <w:p w14:paraId="43691DE4" w14:textId="77777777" w:rsidR="00252E46" w:rsidRPr="00CA7791" w:rsidRDefault="00252E46" w:rsidP="00252E46">
        <w:pPr>
          <w:pStyle w:val="Footer"/>
          <w:jc w:val="right"/>
        </w:pPr>
        <w:r w:rsidRPr="00A43DDB">
          <w:rPr>
            <w:sz w:val="22"/>
          </w:rPr>
          <w:fldChar w:fldCharType="begin"/>
        </w:r>
        <w:r w:rsidRPr="00A43DDB">
          <w:rPr>
            <w:sz w:val="22"/>
          </w:rPr>
          <w:instrText xml:space="preserve"> PAGE   \* MERGEFORMAT </w:instrText>
        </w:r>
        <w:r w:rsidRPr="00A43DDB">
          <w:rPr>
            <w:sz w:val="22"/>
          </w:rPr>
          <w:fldChar w:fldCharType="separate"/>
        </w:r>
        <w:r w:rsidR="00C12B5E">
          <w:rPr>
            <w:noProof/>
            <w:sz w:val="22"/>
          </w:rPr>
          <w:t>46</w:t>
        </w:r>
        <w:r w:rsidRPr="00A43DDB">
          <w:rPr>
            <w:noProof/>
            <w:sz w:val="22"/>
          </w:rPr>
          <w:fldChar w:fldCharType="end"/>
        </w:r>
      </w:p>
    </w:sdtContent>
  </w:sdt>
  <w:p w14:paraId="5D9C1C06" w14:textId="77777777" w:rsidR="00252E46" w:rsidRDefault="00252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CC98" w14:textId="77777777" w:rsidR="004878EA" w:rsidRDefault="004878EA" w:rsidP="00B555F3">
      <w:r>
        <w:separator/>
      </w:r>
    </w:p>
  </w:footnote>
  <w:footnote w:type="continuationSeparator" w:id="0">
    <w:p w14:paraId="6393D009" w14:textId="77777777" w:rsidR="004878EA" w:rsidRDefault="004878EA" w:rsidP="00B55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945B7"/>
    <w:multiLevelType w:val="hybridMultilevel"/>
    <w:tmpl w:val="2CA4E03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67767220"/>
    <w:multiLevelType w:val="hybridMultilevel"/>
    <w:tmpl w:val="B53C4768"/>
    <w:lvl w:ilvl="0" w:tplc="E5C671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019D5"/>
    <w:multiLevelType w:val="multilevel"/>
    <w:tmpl w:val="7F0E9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enforcement="1" w:cryptProviderType="rsaAES" w:cryptAlgorithmClass="hash" w:cryptAlgorithmType="typeAny" w:cryptAlgorithmSid="14" w:cryptSpinCount="100000" w:hash="9y4yrB3cRAUknv3HRv7nCzLfRK0meSvch8kbTBHxli/XQwp2/eqiasKopeIqAvKO89CfjcEF5UEwpqPb+noBgw==" w:salt="O8eSD9RxiIzirQBFYEBK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246"/>
    <w:rsid w:val="00001089"/>
    <w:rsid w:val="00003027"/>
    <w:rsid w:val="00015F27"/>
    <w:rsid w:val="00015F5B"/>
    <w:rsid w:val="000161D2"/>
    <w:rsid w:val="00021285"/>
    <w:rsid w:val="00023324"/>
    <w:rsid w:val="00023566"/>
    <w:rsid w:val="00025C5E"/>
    <w:rsid w:val="000262E5"/>
    <w:rsid w:val="000272CA"/>
    <w:rsid w:val="0003012D"/>
    <w:rsid w:val="000306AB"/>
    <w:rsid w:val="000362E4"/>
    <w:rsid w:val="00036D3D"/>
    <w:rsid w:val="00037EBD"/>
    <w:rsid w:val="000404EE"/>
    <w:rsid w:val="00042A4B"/>
    <w:rsid w:val="000435B8"/>
    <w:rsid w:val="0004429E"/>
    <w:rsid w:val="00044BD9"/>
    <w:rsid w:val="0004715B"/>
    <w:rsid w:val="00052933"/>
    <w:rsid w:val="0005338A"/>
    <w:rsid w:val="000574EA"/>
    <w:rsid w:val="00064612"/>
    <w:rsid w:val="00084422"/>
    <w:rsid w:val="00090408"/>
    <w:rsid w:val="00095236"/>
    <w:rsid w:val="000A0033"/>
    <w:rsid w:val="000A00C0"/>
    <w:rsid w:val="000A06F3"/>
    <w:rsid w:val="000A62AC"/>
    <w:rsid w:val="000A69E0"/>
    <w:rsid w:val="000A7AC0"/>
    <w:rsid w:val="000A7B19"/>
    <w:rsid w:val="000B7A32"/>
    <w:rsid w:val="000C134B"/>
    <w:rsid w:val="000C48E6"/>
    <w:rsid w:val="000D3889"/>
    <w:rsid w:val="000E0C02"/>
    <w:rsid w:val="000E1460"/>
    <w:rsid w:val="000E2723"/>
    <w:rsid w:val="000E3FB4"/>
    <w:rsid w:val="000E42B0"/>
    <w:rsid w:val="000E44E2"/>
    <w:rsid w:val="000E5A15"/>
    <w:rsid w:val="000F2567"/>
    <w:rsid w:val="000F3C7A"/>
    <w:rsid w:val="000F68CC"/>
    <w:rsid w:val="000F7A92"/>
    <w:rsid w:val="001007AC"/>
    <w:rsid w:val="00100AD3"/>
    <w:rsid w:val="0010228B"/>
    <w:rsid w:val="0010610A"/>
    <w:rsid w:val="00112E2D"/>
    <w:rsid w:val="00115393"/>
    <w:rsid w:val="00121D66"/>
    <w:rsid w:val="001220B7"/>
    <w:rsid w:val="00122686"/>
    <w:rsid w:val="00123391"/>
    <w:rsid w:val="001245F7"/>
    <w:rsid w:val="00125C68"/>
    <w:rsid w:val="0012685F"/>
    <w:rsid w:val="001356C3"/>
    <w:rsid w:val="0013658B"/>
    <w:rsid w:val="0013797B"/>
    <w:rsid w:val="00137F3E"/>
    <w:rsid w:val="00142D84"/>
    <w:rsid w:val="00142E37"/>
    <w:rsid w:val="001435FE"/>
    <w:rsid w:val="0015020D"/>
    <w:rsid w:val="001518CD"/>
    <w:rsid w:val="00152B2B"/>
    <w:rsid w:val="00152E9A"/>
    <w:rsid w:val="001546CD"/>
    <w:rsid w:val="00161B8E"/>
    <w:rsid w:val="00166D71"/>
    <w:rsid w:val="001703BD"/>
    <w:rsid w:val="00176466"/>
    <w:rsid w:val="001770F3"/>
    <w:rsid w:val="0018181C"/>
    <w:rsid w:val="00186B8E"/>
    <w:rsid w:val="00187A46"/>
    <w:rsid w:val="00190F8C"/>
    <w:rsid w:val="00192043"/>
    <w:rsid w:val="001965DA"/>
    <w:rsid w:val="00196F12"/>
    <w:rsid w:val="00197814"/>
    <w:rsid w:val="001A0865"/>
    <w:rsid w:val="001B06CC"/>
    <w:rsid w:val="001B5C07"/>
    <w:rsid w:val="001B61A5"/>
    <w:rsid w:val="001B65AB"/>
    <w:rsid w:val="001B67ED"/>
    <w:rsid w:val="001B7730"/>
    <w:rsid w:val="001C0BFB"/>
    <w:rsid w:val="001C1314"/>
    <w:rsid w:val="001C2419"/>
    <w:rsid w:val="001C2952"/>
    <w:rsid w:val="001C34A5"/>
    <w:rsid w:val="001D011E"/>
    <w:rsid w:val="001D3DA1"/>
    <w:rsid w:val="001D433E"/>
    <w:rsid w:val="001D5199"/>
    <w:rsid w:val="001D6801"/>
    <w:rsid w:val="001D6ED5"/>
    <w:rsid w:val="001E3A88"/>
    <w:rsid w:val="001E3ED5"/>
    <w:rsid w:val="001E565C"/>
    <w:rsid w:val="001E6070"/>
    <w:rsid w:val="001F1E8D"/>
    <w:rsid w:val="001F30F2"/>
    <w:rsid w:val="001F404E"/>
    <w:rsid w:val="001F5263"/>
    <w:rsid w:val="001F589E"/>
    <w:rsid w:val="001F5A23"/>
    <w:rsid w:val="001F66EE"/>
    <w:rsid w:val="002069A7"/>
    <w:rsid w:val="00206A91"/>
    <w:rsid w:val="00207AA7"/>
    <w:rsid w:val="0021015F"/>
    <w:rsid w:val="00213E03"/>
    <w:rsid w:val="0021660C"/>
    <w:rsid w:val="00217EFC"/>
    <w:rsid w:val="00220873"/>
    <w:rsid w:val="00223C14"/>
    <w:rsid w:val="002335CC"/>
    <w:rsid w:val="00233FE2"/>
    <w:rsid w:val="00235F14"/>
    <w:rsid w:val="002372B9"/>
    <w:rsid w:val="00237802"/>
    <w:rsid w:val="002413B6"/>
    <w:rsid w:val="00243093"/>
    <w:rsid w:val="0024562F"/>
    <w:rsid w:val="002502D8"/>
    <w:rsid w:val="00252E46"/>
    <w:rsid w:val="002539C4"/>
    <w:rsid w:val="002562A6"/>
    <w:rsid w:val="00257135"/>
    <w:rsid w:val="002637A7"/>
    <w:rsid w:val="002651E5"/>
    <w:rsid w:val="0026628E"/>
    <w:rsid w:val="002719DE"/>
    <w:rsid w:val="002719EA"/>
    <w:rsid w:val="00273293"/>
    <w:rsid w:val="002733DB"/>
    <w:rsid w:val="002769C8"/>
    <w:rsid w:val="00277C65"/>
    <w:rsid w:val="00282FAE"/>
    <w:rsid w:val="00283174"/>
    <w:rsid w:val="002836C4"/>
    <w:rsid w:val="00285D23"/>
    <w:rsid w:val="00287D72"/>
    <w:rsid w:val="002927FA"/>
    <w:rsid w:val="00292E58"/>
    <w:rsid w:val="00293F47"/>
    <w:rsid w:val="00297A50"/>
    <w:rsid w:val="002A0FCF"/>
    <w:rsid w:val="002A464F"/>
    <w:rsid w:val="002A4AFB"/>
    <w:rsid w:val="002A5C46"/>
    <w:rsid w:val="002B5E2E"/>
    <w:rsid w:val="002B6C91"/>
    <w:rsid w:val="002B72EE"/>
    <w:rsid w:val="002B7A95"/>
    <w:rsid w:val="002B7C80"/>
    <w:rsid w:val="002C3B20"/>
    <w:rsid w:val="002C4A63"/>
    <w:rsid w:val="002C52AC"/>
    <w:rsid w:val="002C6836"/>
    <w:rsid w:val="002D078E"/>
    <w:rsid w:val="002D26E8"/>
    <w:rsid w:val="002D3ECF"/>
    <w:rsid w:val="002D473E"/>
    <w:rsid w:val="002E4E5C"/>
    <w:rsid w:val="002E7F29"/>
    <w:rsid w:val="002F0C7E"/>
    <w:rsid w:val="002F13AB"/>
    <w:rsid w:val="002F3C74"/>
    <w:rsid w:val="002F400C"/>
    <w:rsid w:val="002F5968"/>
    <w:rsid w:val="002F7C22"/>
    <w:rsid w:val="00300D40"/>
    <w:rsid w:val="0030608B"/>
    <w:rsid w:val="00307241"/>
    <w:rsid w:val="00307FAE"/>
    <w:rsid w:val="003101D2"/>
    <w:rsid w:val="00314729"/>
    <w:rsid w:val="00322669"/>
    <w:rsid w:val="003271C6"/>
    <w:rsid w:val="003305C8"/>
    <w:rsid w:val="00331ADA"/>
    <w:rsid w:val="0033244C"/>
    <w:rsid w:val="0034033E"/>
    <w:rsid w:val="00344445"/>
    <w:rsid w:val="00345A95"/>
    <w:rsid w:val="003471D9"/>
    <w:rsid w:val="00350252"/>
    <w:rsid w:val="003506D4"/>
    <w:rsid w:val="00350B2D"/>
    <w:rsid w:val="003512E0"/>
    <w:rsid w:val="003539C4"/>
    <w:rsid w:val="00356569"/>
    <w:rsid w:val="003565A1"/>
    <w:rsid w:val="00362BFF"/>
    <w:rsid w:val="00364079"/>
    <w:rsid w:val="00364822"/>
    <w:rsid w:val="00364EA1"/>
    <w:rsid w:val="00366784"/>
    <w:rsid w:val="00366970"/>
    <w:rsid w:val="00366FA6"/>
    <w:rsid w:val="00372763"/>
    <w:rsid w:val="00373630"/>
    <w:rsid w:val="00373661"/>
    <w:rsid w:val="0037682D"/>
    <w:rsid w:val="00383879"/>
    <w:rsid w:val="00386FB5"/>
    <w:rsid w:val="00390746"/>
    <w:rsid w:val="003941AF"/>
    <w:rsid w:val="003965E6"/>
    <w:rsid w:val="003A31AA"/>
    <w:rsid w:val="003A37B4"/>
    <w:rsid w:val="003A5AD5"/>
    <w:rsid w:val="003A5CF8"/>
    <w:rsid w:val="003A64DE"/>
    <w:rsid w:val="003B2324"/>
    <w:rsid w:val="003B40C4"/>
    <w:rsid w:val="003B4286"/>
    <w:rsid w:val="003C0D9F"/>
    <w:rsid w:val="003C2639"/>
    <w:rsid w:val="003C37D5"/>
    <w:rsid w:val="003C71D1"/>
    <w:rsid w:val="003D1415"/>
    <w:rsid w:val="003D6934"/>
    <w:rsid w:val="003E156B"/>
    <w:rsid w:val="003E2581"/>
    <w:rsid w:val="003E2BE3"/>
    <w:rsid w:val="003E64DA"/>
    <w:rsid w:val="003E7BB4"/>
    <w:rsid w:val="003E7EF8"/>
    <w:rsid w:val="003F04D1"/>
    <w:rsid w:val="003F0C96"/>
    <w:rsid w:val="003F173A"/>
    <w:rsid w:val="003F72C8"/>
    <w:rsid w:val="00401967"/>
    <w:rsid w:val="00404209"/>
    <w:rsid w:val="00410457"/>
    <w:rsid w:val="004121F2"/>
    <w:rsid w:val="004163D7"/>
    <w:rsid w:val="0042072A"/>
    <w:rsid w:val="004218B7"/>
    <w:rsid w:val="004228F6"/>
    <w:rsid w:val="00426465"/>
    <w:rsid w:val="004271E4"/>
    <w:rsid w:val="00427EE8"/>
    <w:rsid w:val="00430599"/>
    <w:rsid w:val="0043095F"/>
    <w:rsid w:val="00432C06"/>
    <w:rsid w:val="00432C49"/>
    <w:rsid w:val="00432EEC"/>
    <w:rsid w:val="004336CA"/>
    <w:rsid w:val="004361AF"/>
    <w:rsid w:val="0043665F"/>
    <w:rsid w:val="00440659"/>
    <w:rsid w:val="00442566"/>
    <w:rsid w:val="004444C3"/>
    <w:rsid w:val="00445BD9"/>
    <w:rsid w:val="004477A7"/>
    <w:rsid w:val="004500D3"/>
    <w:rsid w:val="00453483"/>
    <w:rsid w:val="00454582"/>
    <w:rsid w:val="00455E0E"/>
    <w:rsid w:val="00456A98"/>
    <w:rsid w:val="00463C65"/>
    <w:rsid w:val="00464B34"/>
    <w:rsid w:val="00470E00"/>
    <w:rsid w:val="00480409"/>
    <w:rsid w:val="0048168A"/>
    <w:rsid w:val="00486D36"/>
    <w:rsid w:val="004878EA"/>
    <w:rsid w:val="00490AC8"/>
    <w:rsid w:val="00491B44"/>
    <w:rsid w:val="00494AC8"/>
    <w:rsid w:val="00494BBB"/>
    <w:rsid w:val="00496D7A"/>
    <w:rsid w:val="00496F3B"/>
    <w:rsid w:val="0049721B"/>
    <w:rsid w:val="00497FFB"/>
    <w:rsid w:val="004A4250"/>
    <w:rsid w:val="004A6372"/>
    <w:rsid w:val="004B5255"/>
    <w:rsid w:val="004C1680"/>
    <w:rsid w:val="004C3094"/>
    <w:rsid w:val="004C3E0B"/>
    <w:rsid w:val="004C6026"/>
    <w:rsid w:val="004D17D7"/>
    <w:rsid w:val="004D1ED3"/>
    <w:rsid w:val="004D28BB"/>
    <w:rsid w:val="004D2CB2"/>
    <w:rsid w:val="004D3E72"/>
    <w:rsid w:val="004E04DB"/>
    <w:rsid w:val="004E1CAE"/>
    <w:rsid w:val="004E457D"/>
    <w:rsid w:val="004F104D"/>
    <w:rsid w:val="004F4F1B"/>
    <w:rsid w:val="004F7098"/>
    <w:rsid w:val="004F72BA"/>
    <w:rsid w:val="004F734F"/>
    <w:rsid w:val="005002F1"/>
    <w:rsid w:val="00500DB5"/>
    <w:rsid w:val="0050374A"/>
    <w:rsid w:val="00506A87"/>
    <w:rsid w:val="00510867"/>
    <w:rsid w:val="005164B0"/>
    <w:rsid w:val="00521246"/>
    <w:rsid w:val="00522AA7"/>
    <w:rsid w:val="0052405D"/>
    <w:rsid w:val="00524A52"/>
    <w:rsid w:val="00540623"/>
    <w:rsid w:val="00543B4C"/>
    <w:rsid w:val="005446CE"/>
    <w:rsid w:val="00544B2C"/>
    <w:rsid w:val="00544DE4"/>
    <w:rsid w:val="005470C4"/>
    <w:rsid w:val="00554D63"/>
    <w:rsid w:val="0055552C"/>
    <w:rsid w:val="00560F4B"/>
    <w:rsid w:val="00567D48"/>
    <w:rsid w:val="0057310F"/>
    <w:rsid w:val="00573788"/>
    <w:rsid w:val="005817C5"/>
    <w:rsid w:val="0058522C"/>
    <w:rsid w:val="00585FB9"/>
    <w:rsid w:val="00590563"/>
    <w:rsid w:val="00590A3B"/>
    <w:rsid w:val="005A084D"/>
    <w:rsid w:val="005A11BE"/>
    <w:rsid w:val="005A49C2"/>
    <w:rsid w:val="005B6C1B"/>
    <w:rsid w:val="005B7A15"/>
    <w:rsid w:val="005C1346"/>
    <w:rsid w:val="005C5B58"/>
    <w:rsid w:val="005C5BEB"/>
    <w:rsid w:val="005C6230"/>
    <w:rsid w:val="005C7C4B"/>
    <w:rsid w:val="005D43C4"/>
    <w:rsid w:val="005D63ED"/>
    <w:rsid w:val="005D66DF"/>
    <w:rsid w:val="005E0176"/>
    <w:rsid w:val="005E7D45"/>
    <w:rsid w:val="005F11D8"/>
    <w:rsid w:val="005F24AC"/>
    <w:rsid w:val="005F2BBB"/>
    <w:rsid w:val="005F72C8"/>
    <w:rsid w:val="005F7BB9"/>
    <w:rsid w:val="006019E5"/>
    <w:rsid w:val="00603709"/>
    <w:rsid w:val="0060437B"/>
    <w:rsid w:val="0061104B"/>
    <w:rsid w:val="00612F33"/>
    <w:rsid w:val="0061376A"/>
    <w:rsid w:val="006164C5"/>
    <w:rsid w:val="00616F40"/>
    <w:rsid w:val="00622171"/>
    <w:rsid w:val="00630292"/>
    <w:rsid w:val="00632121"/>
    <w:rsid w:val="006356BA"/>
    <w:rsid w:val="00635B77"/>
    <w:rsid w:val="00642770"/>
    <w:rsid w:val="0064404E"/>
    <w:rsid w:val="006454DB"/>
    <w:rsid w:val="00646E63"/>
    <w:rsid w:val="0065055C"/>
    <w:rsid w:val="00650990"/>
    <w:rsid w:val="006512AD"/>
    <w:rsid w:val="00655F38"/>
    <w:rsid w:val="0065655B"/>
    <w:rsid w:val="006608B1"/>
    <w:rsid w:val="006618C3"/>
    <w:rsid w:val="0066285B"/>
    <w:rsid w:val="00665AFF"/>
    <w:rsid w:val="006667CB"/>
    <w:rsid w:val="00671038"/>
    <w:rsid w:val="00672733"/>
    <w:rsid w:val="006732E7"/>
    <w:rsid w:val="006740E3"/>
    <w:rsid w:val="0067585E"/>
    <w:rsid w:val="00676192"/>
    <w:rsid w:val="00680816"/>
    <w:rsid w:val="00682077"/>
    <w:rsid w:val="00684BF7"/>
    <w:rsid w:val="00690DA6"/>
    <w:rsid w:val="00692463"/>
    <w:rsid w:val="00692674"/>
    <w:rsid w:val="006957FF"/>
    <w:rsid w:val="006A165B"/>
    <w:rsid w:val="006A5469"/>
    <w:rsid w:val="006A73C0"/>
    <w:rsid w:val="006B1539"/>
    <w:rsid w:val="006B3191"/>
    <w:rsid w:val="006B5D01"/>
    <w:rsid w:val="006B61F2"/>
    <w:rsid w:val="006B6EEE"/>
    <w:rsid w:val="006C3D9E"/>
    <w:rsid w:val="006C5F21"/>
    <w:rsid w:val="006C63D5"/>
    <w:rsid w:val="006D129D"/>
    <w:rsid w:val="006D42C7"/>
    <w:rsid w:val="006D5ABB"/>
    <w:rsid w:val="006E4AF2"/>
    <w:rsid w:val="006F6F02"/>
    <w:rsid w:val="006F7637"/>
    <w:rsid w:val="0070165D"/>
    <w:rsid w:val="007023CA"/>
    <w:rsid w:val="00703864"/>
    <w:rsid w:val="00711657"/>
    <w:rsid w:val="00714D47"/>
    <w:rsid w:val="007153F6"/>
    <w:rsid w:val="00726703"/>
    <w:rsid w:val="0072795D"/>
    <w:rsid w:val="00727B5C"/>
    <w:rsid w:val="007301B9"/>
    <w:rsid w:val="00731739"/>
    <w:rsid w:val="0073378A"/>
    <w:rsid w:val="00736C08"/>
    <w:rsid w:val="0074282E"/>
    <w:rsid w:val="00743D4E"/>
    <w:rsid w:val="00747CEA"/>
    <w:rsid w:val="00751EB2"/>
    <w:rsid w:val="0075721C"/>
    <w:rsid w:val="00762616"/>
    <w:rsid w:val="007663B1"/>
    <w:rsid w:val="00773C92"/>
    <w:rsid w:val="00774904"/>
    <w:rsid w:val="00790846"/>
    <w:rsid w:val="00791B34"/>
    <w:rsid w:val="0079200D"/>
    <w:rsid w:val="0079324A"/>
    <w:rsid w:val="00795387"/>
    <w:rsid w:val="007A1314"/>
    <w:rsid w:val="007A768A"/>
    <w:rsid w:val="007B1222"/>
    <w:rsid w:val="007B655B"/>
    <w:rsid w:val="007C26A2"/>
    <w:rsid w:val="007C2A56"/>
    <w:rsid w:val="007C4EE8"/>
    <w:rsid w:val="007C5236"/>
    <w:rsid w:val="007D1E9B"/>
    <w:rsid w:val="007E0AD3"/>
    <w:rsid w:val="007E1AA5"/>
    <w:rsid w:val="007E27F7"/>
    <w:rsid w:val="007E435C"/>
    <w:rsid w:val="007E6AE3"/>
    <w:rsid w:val="007F172E"/>
    <w:rsid w:val="00800DA0"/>
    <w:rsid w:val="00805769"/>
    <w:rsid w:val="00805A7A"/>
    <w:rsid w:val="00811767"/>
    <w:rsid w:val="0081480F"/>
    <w:rsid w:val="00820B05"/>
    <w:rsid w:val="0082564A"/>
    <w:rsid w:val="00831FD0"/>
    <w:rsid w:val="00834CFF"/>
    <w:rsid w:val="00835B3D"/>
    <w:rsid w:val="0083641E"/>
    <w:rsid w:val="00836AF1"/>
    <w:rsid w:val="008375A7"/>
    <w:rsid w:val="0084064C"/>
    <w:rsid w:val="00840EB0"/>
    <w:rsid w:val="00842102"/>
    <w:rsid w:val="00844366"/>
    <w:rsid w:val="00844FEB"/>
    <w:rsid w:val="00847D7E"/>
    <w:rsid w:val="008528A6"/>
    <w:rsid w:val="00853C6F"/>
    <w:rsid w:val="00856FCC"/>
    <w:rsid w:val="00861977"/>
    <w:rsid w:val="00861FFA"/>
    <w:rsid w:val="00865AD5"/>
    <w:rsid w:val="0087210A"/>
    <w:rsid w:val="0087264D"/>
    <w:rsid w:val="00872F70"/>
    <w:rsid w:val="008742BB"/>
    <w:rsid w:val="00876016"/>
    <w:rsid w:val="008802F3"/>
    <w:rsid w:val="0088393E"/>
    <w:rsid w:val="00884DAF"/>
    <w:rsid w:val="00884F12"/>
    <w:rsid w:val="00886699"/>
    <w:rsid w:val="008867E3"/>
    <w:rsid w:val="0089190B"/>
    <w:rsid w:val="00892FCC"/>
    <w:rsid w:val="008A028D"/>
    <w:rsid w:val="008A1942"/>
    <w:rsid w:val="008A256B"/>
    <w:rsid w:val="008A2610"/>
    <w:rsid w:val="008A2929"/>
    <w:rsid w:val="008A5672"/>
    <w:rsid w:val="008A7BA1"/>
    <w:rsid w:val="008B2BA0"/>
    <w:rsid w:val="008B5058"/>
    <w:rsid w:val="008B59AB"/>
    <w:rsid w:val="008C04AB"/>
    <w:rsid w:val="008C2E5C"/>
    <w:rsid w:val="008C6470"/>
    <w:rsid w:val="008D1CEC"/>
    <w:rsid w:val="008D67A2"/>
    <w:rsid w:val="008E3DC1"/>
    <w:rsid w:val="008F0F62"/>
    <w:rsid w:val="008F3D9D"/>
    <w:rsid w:val="008F3E4F"/>
    <w:rsid w:val="008F5266"/>
    <w:rsid w:val="009063D2"/>
    <w:rsid w:val="009064AD"/>
    <w:rsid w:val="00912833"/>
    <w:rsid w:val="00913590"/>
    <w:rsid w:val="009149A5"/>
    <w:rsid w:val="00922ACB"/>
    <w:rsid w:val="0092438B"/>
    <w:rsid w:val="00926677"/>
    <w:rsid w:val="009277A1"/>
    <w:rsid w:val="00927D04"/>
    <w:rsid w:val="0093333C"/>
    <w:rsid w:val="00947772"/>
    <w:rsid w:val="00953F09"/>
    <w:rsid w:val="00954F6F"/>
    <w:rsid w:val="0095686C"/>
    <w:rsid w:val="009575A7"/>
    <w:rsid w:val="009579CE"/>
    <w:rsid w:val="0096286F"/>
    <w:rsid w:val="009665F8"/>
    <w:rsid w:val="0096748D"/>
    <w:rsid w:val="00970530"/>
    <w:rsid w:val="00970F4F"/>
    <w:rsid w:val="00971270"/>
    <w:rsid w:val="00973805"/>
    <w:rsid w:val="00980795"/>
    <w:rsid w:val="0098258B"/>
    <w:rsid w:val="00982C09"/>
    <w:rsid w:val="00987016"/>
    <w:rsid w:val="00993192"/>
    <w:rsid w:val="009950EA"/>
    <w:rsid w:val="009951A7"/>
    <w:rsid w:val="00995713"/>
    <w:rsid w:val="009A079E"/>
    <w:rsid w:val="009A16F8"/>
    <w:rsid w:val="009A473D"/>
    <w:rsid w:val="009B44EB"/>
    <w:rsid w:val="009B6E92"/>
    <w:rsid w:val="009C2948"/>
    <w:rsid w:val="009C4319"/>
    <w:rsid w:val="009C7B68"/>
    <w:rsid w:val="009C7FA0"/>
    <w:rsid w:val="009D36DB"/>
    <w:rsid w:val="009E0F96"/>
    <w:rsid w:val="009E3760"/>
    <w:rsid w:val="009E4AE5"/>
    <w:rsid w:val="009E5444"/>
    <w:rsid w:val="009E67AE"/>
    <w:rsid w:val="009E7FB0"/>
    <w:rsid w:val="009F0B40"/>
    <w:rsid w:val="009F2507"/>
    <w:rsid w:val="009F275E"/>
    <w:rsid w:val="009F42C0"/>
    <w:rsid w:val="009F4D58"/>
    <w:rsid w:val="009F5A3B"/>
    <w:rsid w:val="009F6C74"/>
    <w:rsid w:val="00A005B2"/>
    <w:rsid w:val="00A006E9"/>
    <w:rsid w:val="00A10CFB"/>
    <w:rsid w:val="00A10E41"/>
    <w:rsid w:val="00A170A8"/>
    <w:rsid w:val="00A21797"/>
    <w:rsid w:val="00A2455A"/>
    <w:rsid w:val="00A25373"/>
    <w:rsid w:val="00A3676C"/>
    <w:rsid w:val="00A42DC3"/>
    <w:rsid w:val="00A43DDB"/>
    <w:rsid w:val="00A45B15"/>
    <w:rsid w:val="00A50849"/>
    <w:rsid w:val="00A531C0"/>
    <w:rsid w:val="00A5489E"/>
    <w:rsid w:val="00A54EEE"/>
    <w:rsid w:val="00A567DE"/>
    <w:rsid w:val="00A66700"/>
    <w:rsid w:val="00A66D9F"/>
    <w:rsid w:val="00A6790A"/>
    <w:rsid w:val="00A715D3"/>
    <w:rsid w:val="00A72093"/>
    <w:rsid w:val="00A72B80"/>
    <w:rsid w:val="00A736D7"/>
    <w:rsid w:val="00A83D23"/>
    <w:rsid w:val="00A86EBC"/>
    <w:rsid w:val="00AA0B26"/>
    <w:rsid w:val="00AA0B9F"/>
    <w:rsid w:val="00AA0FC7"/>
    <w:rsid w:val="00AA3A2B"/>
    <w:rsid w:val="00AA75CA"/>
    <w:rsid w:val="00AB4C97"/>
    <w:rsid w:val="00AC156E"/>
    <w:rsid w:val="00AC2D1F"/>
    <w:rsid w:val="00AC3A6F"/>
    <w:rsid w:val="00AC3B84"/>
    <w:rsid w:val="00AC6A65"/>
    <w:rsid w:val="00AD29E7"/>
    <w:rsid w:val="00AD415A"/>
    <w:rsid w:val="00AD47A5"/>
    <w:rsid w:val="00AD4E3B"/>
    <w:rsid w:val="00AE5134"/>
    <w:rsid w:val="00AE63A8"/>
    <w:rsid w:val="00AF032F"/>
    <w:rsid w:val="00AF6D18"/>
    <w:rsid w:val="00B0369E"/>
    <w:rsid w:val="00B05342"/>
    <w:rsid w:val="00B061C0"/>
    <w:rsid w:val="00B0705F"/>
    <w:rsid w:val="00B12429"/>
    <w:rsid w:val="00B17663"/>
    <w:rsid w:val="00B202E4"/>
    <w:rsid w:val="00B25F19"/>
    <w:rsid w:val="00B33222"/>
    <w:rsid w:val="00B359E9"/>
    <w:rsid w:val="00B3685D"/>
    <w:rsid w:val="00B4154F"/>
    <w:rsid w:val="00B41A6B"/>
    <w:rsid w:val="00B429AA"/>
    <w:rsid w:val="00B42F22"/>
    <w:rsid w:val="00B43B44"/>
    <w:rsid w:val="00B45E90"/>
    <w:rsid w:val="00B472E7"/>
    <w:rsid w:val="00B528B3"/>
    <w:rsid w:val="00B555F3"/>
    <w:rsid w:val="00B5687E"/>
    <w:rsid w:val="00B57995"/>
    <w:rsid w:val="00B63901"/>
    <w:rsid w:val="00B65308"/>
    <w:rsid w:val="00B66726"/>
    <w:rsid w:val="00B66DD1"/>
    <w:rsid w:val="00B77D5D"/>
    <w:rsid w:val="00B802F7"/>
    <w:rsid w:val="00B818C1"/>
    <w:rsid w:val="00B83267"/>
    <w:rsid w:val="00B866C8"/>
    <w:rsid w:val="00B92A9F"/>
    <w:rsid w:val="00B93225"/>
    <w:rsid w:val="00BA1B47"/>
    <w:rsid w:val="00BA3445"/>
    <w:rsid w:val="00BA6B76"/>
    <w:rsid w:val="00BB0104"/>
    <w:rsid w:val="00BB0459"/>
    <w:rsid w:val="00BB1DEF"/>
    <w:rsid w:val="00BB4146"/>
    <w:rsid w:val="00BB5CDC"/>
    <w:rsid w:val="00BB7116"/>
    <w:rsid w:val="00BC01CA"/>
    <w:rsid w:val="00BC127F"/>
    <w:rsid w:val="00BC4850"/>
    <w:rsid w:val="00BD1C3F"/>
    <w:rsid w:val="00BD32C0"/>
    <w:rsid w:val="00BD6E14"/>
    <w:rsid w:val="00BE5F3B"/>
    <w:rsid w:val="00BE71BD"/>
    <w:rsid w:val="00BE773C"/>
    <w:rsid w:val="00BF08A4"/>
    <w:rsid w:val="00BF37E6"/>
    <w:rsid w:val="00C01CC9"/>
    <w:rsid w:val="00C06411"/>
    <w:rsid w:val="00C105F9"/>
    <w:rsid w:val="00C12B5E"/>
    <w:rsid w:val="00C168B9"/>
    <w:rsid w:val="00C208EE"/>
    <w:rsid w:val="00C212CD"/>
    <w:rsid w:val="00C244A1"/>
    <w:rsid w:val="00C24B13"/>
    <w:rsid w:val="00C365E1"/>
    <w:rsid w:val="00C4154C"/>
    <w:rsid w:val="00C43F71"/>
    <w:rsid w:val="00C44D95"/>
    <w:rsid w:val="00C44E39"/>
    <w:rsid w:val="00C50D28"/>
    <w:rsid w:val="00C53C2C"/>
    <w:rsid w:val="00C5665C"/>
    <w:rsid w:val="00C57A89"/>
    <w:rsid w:val="00C6250E"/>
    <w:rsid w:val="00C628B5"/>
    <w:rsid w:val="00C628E9"/>
    <w:rsid w:val="00C62A32"/>
    <w:rsid w:val="00C64F4F"/>
    <w:rsid w:val="00C678AE"/>
    <w:rsid w:val="00C705FA"/>
    <w:rsid w:val="00C71334"/>
    <w:rsid w:val="00C763B1"/>
    <w:rsid w:val="00C81A0F"/>
    <w:rsid w:val="00C851AC"/>
    <w:rsid w:val="00C93741"/>
    <w:rsid w:val="00C954EC"/>
    <w:rsid w:val="00C960D3"/>
    <w:rsid w:val="00CA5183"/>
    <w:rsid w:val="00CA52E4"/>
    <w:rsid w:val="00CA590C"/>
    <w:rsid w:val="00CA5EA9"/>
    <w:rsid w:val="00CA7EA2"/>
    <w:rsid w:val="00CB0013"/>
    <w:rsid w:val="00CC4B15"/>
    <w:rsid w:val="00CC5A69"/>
    <w:rsid w:val="00CC798C"/>
    <w:rsid w:val="00CD325C"/>
    <w:rsid w:val="00CD4D9E"/>
    <w:rsid w:val="00CD57C6"/>
    <w:rsid w:val="00CD5CFE"/>
    <w:rsid w:val="00CD784E"/>
    <w:rsid w:val="00CE1838"/>
    <w:rsid w:val="00CE2C0A"/>
    <w:rsid w:val="00CE362C"/>
    <w:rsid w:val="00CE7C16"/>
    <w:rsid w:val="00CF2B23"/>
    <w:rsid w:val="00D03A59"/>
    <w:rsid w:val="00D06D58"/>
    <w:rsid w:val="00D202F5"/>
    <w:rsid w:val="00D20DDE"/>
    <w:rsid w:val="00D245D0"/>
    <w:rsid w:val="00D322DC"/>
    <w:rsid w:val="00D42223"/>
    <w:rsid w:val="00D441EB"/>
    <w:rsid w:val="00D47650"/>
    <w:rsid w:val="00D50C2F"/>
    <w:rsid w:val="00D522FC"/>
    <w:rsid w:val="00D55ADA"/>
    <w:rsid w:val="00D61DEF"/>
    <w:rsid w:val="00D65E8E"/>
    <w:rsid w:val="00D66EE8"/>
    <w:rsid w:val="00D7108B"/>
    <w:rsid w:val="00D7166E"/>
    <w:rsid w:val="00D72EC7"/>
    <w:rsid w:val="00D7400A"/>
    <w:rsid w:val="00D768F2"/>
    <w:rsid w:val="00D80937"/>
    <w:rsid w:val="00D8411D"/>
    <w:rsid w:val="00D8478F"/>
    <w:rsid w:val="00D849A5"/>
    <w:rsid w:val="00D90E40"/>
    <w:rsid w:val="00D90FFF"/>
    <w:rsid w:val="00D92EC4"/>
    <w:rsid w:val="00D95222"/>
    <w:rsid w:val="00DA0A40"/>
    <w:rsid w:val="00DA1517"/>
    <w:rsid w:val="00DA5C21"/>
    <w:rsid w:val="00DC017B"/>
    <w:rsid w:val="00DC131E"/>
    <w:rsid w:val="00DC2EBC"/>
    <w:rsid w:val="00DC450A"/>
    <w:rsid w:val="00DC603C"/>
    <w:rsid w:val="00DC6818"/>
    <w:rsid w:val="00DD09E8"/>
    <w:rsid w:val="00DD31B1"/>
    <w:rsid w:val="00DD5CD7"/>
    <w:rsid w:val="00DE419A"/>
    <w:rsid w:val="00DE4BD2"/>
    <w:rsid w:val="00DF0A50"/>
    <w:rsid w:val="00DF0DF4"/>
    <w:rsid w:val="00DF1568"/>
    <w:rsid w:val="00DF22A7"/>
    <w:rsid w:val="00DF4434"/>
    <w:rsid w:val="00DF6472"/>
    <w:rsid w:val="00E06EC2"/>
    <w:rsid w:val="00E12AF1"/>
    <w:rsid w:val="00E12E8D"/>
    <w:rsid w:val="00E13985"/>
    <w:rsid w:val="00E1472A"/>
    <w:rsid w:val="00E21675"/>
    <w:rsid w:val="00E2211D"/>
    <w:rsid w:val="00E3151D"/>
    <w:rsid w:val="00E32F63"/>
    <w:rsid w:val="00E378D3"/>
    <w:rsid w:val="00E4004E"/>
    <w:rsid w:val="00E41D34"/>
    <w:rsid w:val="00E41E5F"/>
    <w:rsid w:val="00E428A1"/>
    <w:rsid w:val="00E42ECB"/>
    <w:rsid w:val="00E45EB9"/>
    <w:rsid w:val="00E471A8"/>
    <w:rsid w:val="00E47A32"/>
    <w:rsid w:val="00E54513"/>
    <w:rsid w:val="00E567DA"/>
    <w:rsid w:val="00E6097F"/>
    <w:rsid w:val="00E62E67"/>
    <w:rsid w:val="00E634B2"/>
    <w:rsid w:val="00E7069F"/>
    <w:rsid w:val="00E71E3E"/>
    <w:rsid w:val="00E80E9E"/>
    <w:rsid w:val="00E80FDF"/>
    <w:rsid w:val="00E90AE4"/>
    <w:rsid w:val="00E9492E"/>
    <w:rsid w:val="00EA1C77"/>
    <w:rsid w:val="00EA2A17"/>
    <w:rsid w:val="00EA2EFB"/>
    <w:rsid w:val="00EA3F4B"/>
    <w:rsid w:val="00EA611E"/>
    <w:rsid w:val="00EB13EB"/>
    <w:rsid w:val="00EB1EF3"/>
    <w:rsid w:val="00EB28C4"/>
    <w:rsid w:val="00EC01C0"/>
    <w:rsid w:val="00EC5F62"/>
    <w:rsid w:val="00ED211C"/>
    <w:rsid w:val="00ED2434"/>
    <w:rsid w:val="00ED31D1"/>
    <w:rsid w:val="00ED3DD1"/>
    <w:rsid w:val="00ED6865"/>
    <w:rsid w:val="00EE6195"/>
    <w:rsid w:val="00EE655A"/>
    <w:rsid w:val="00EF1FC7"/>
    <w:rsid w:val="00EF279C"/>
    <w:rsid w:val="00EF2C6B"/>
    <w:rsid w:val="00EF404A"/>
    <w:rsid w:val="00EF5861"/>
    <w:rsid w:val="00F0334E"/>
    <w:rsid w:val="00F04B20"/>
    <w:rsid w:val="00F057E5"/>
    <w:rsid w:val="00F07F43"/>
    <w:rsid w:val="00F2027E"/>
    <w:rsid w:val="00F21599"/>
    <w:rsid w:val="00F24975"/>
    <w:rsid w:val="00F275D9"/>
    <w:rsid w:val="00F31B23"/>
    <w:rsid w:val="00F3241E"/>
    <w:rsid w:val="00F324DD"/>
    <w:rsid w:val="00F3582D"/>
    <w:rsid w:val="00F361E4"/>
    <w:rsid w:val="00F37AA0"/>
    <w:rsid w:val="00F40554"/>
    <w:rsid w:val="00F416DB"/>
    <w:rsid w:val="00F44F91"/>
    <w:rsid w:val="00F5037B"/>
    <w:rsid w:val="00F63624"/>
    <w:rsid w:val="00F64BD9"/>
    <w:rsid w:val="00F67657"/>
    <w:rsid w:val="00F70D15"/>
    <w:rsid w:val="00F71297"/>
    <w:rsid w:val="00F72CE9"/>
    <w:rsid w:val="00F820CA"/>
    <w:rsid w:val="00F87507"/>
    <w:rsid w:val="00F950B3"/>
    <w:rsid w:val="00F977FB"/>
    <w:rsid w:val="00FA37E5"/>
    <w:rsid w:val="00FA5C95"/>
    <w:rsid w:val="00FA6899"/>
    <w:rsid w:val="00FA6D59"/>
    <w:rsid w:val="00FB3653"/>
    <w:rsid w:val="00FB6DB8"/>
    <w:rsid w:val="00FC203B"/>
    <w:rsid w:val="00FC2EE6"/>
    <w:rsid w:val="00FC511E"/>
    <w:rsid w:val="00FC67CB"/>
    <w:rsid w:val="00FD157E"/>
    <w:rsid w:val="00FD3ACA"/>
    <w:rsid w:val="00FD63B9"/>
    <w:rsid w:val="00FD6E6F"/>
    <w:rsid w:val="00FE52B5"/>
    <w:rsid w:val="00FF29A0"/>
    <w:rsid w:val="00FF3873"/>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5089F"/>
  <w15:docId w15:val="{3388A1A0-37AE-4D77-A0A0-0C5812B3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4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
    <w:basedOn w:val="Normal"/>
    <w:link w:val="ListParagraphChar"/>
    <w:uiPriority w:val="34"/>
    <w:qFormat/>
    <w:rsid w:val="00F44F91"/>
    <w:pPr>
      <w:ind w:left="720"/>
      <w:contextualSpacing/>
    </w:pPr>
  </w:style>
  <w:style w:type="paragraph" w:customStyle="1" w:styleId="Char1">
    <w:name w:val="Char1"/>
    <w:basedOn w:val="Normal"/>
    <w:rsid w:val="005B6C1B"/>
    <w:pPr>
      <w:spacing w:after="160" w:line="240" w:lineRule="exact"/>
    </w:pPr>
    <w:rPr>
      <w:rFonts w:ascii="Arial" w:eastAsia="Times New Roman" w:hAnsi="Arial" w:cs="Arial"/>
      <w:sz w:val="20"/>
      <w:szCs w:val="20"/>
      <w:lang w:val="en-GB" w:eastAsia="en-US"/>
    </w:rPr>
  </w:style>
  <w:style w:type="paragraph" w:styleId="Title">
    <w:name w:val="Title"/>
    <w:basedOn w:val="Normal"/>
    <w:link w:val="TitleChar"/>
    <w:qFormat/>
    <w:rsid w:val="00A10E41"/>
    <w:pPr>
      <w:jc w:val="center"/>
    </w:pPr>
    <w:rPr>
      <w:rFonts w:ascii="Arial" w:eastAsia="Times New Roman" w:hAnsi="Arial" w:cs="Arial"/>
      <w:b/>
      <w:bCs/>
      <w:sz w:val="20"/>
      <w:szCs w:val="20"/>
      <w:lang w:eastAsia="en-US"/>
    </w:rPr>
  </w:style>
  <w:style w:type="character" w:customStyle="1" w:styleId="TitleChar">
    <w:name w:val="Title Char"/>
    <w:basedOn w:val="DefaultParagraphFont"/>
    <w:link w:val="Title"/>
    <w:rsid w:val="00A10E41"/>
    <w:rPr>
      <w:rFonts w:ascii="Arial" w:eastAsia="Times New Roman" w:hAnsi="Arial" w:cs="Arial"/>
      <w:b/>
      <w:bCs/>
      <w:sz w:val="20"/>
      <w:szCs w:val="20"/>
    </w:rPr>
  </w:style>
  <w:style w:type="paragraph" w:styleId="BodyTextIndent">
    <w:name w:val="Body Text Indent"/>
    <w:basedOn w:val="Normal"/>
    <w:link w:val="BodyTextIndentChar"/>
    <w:uiPriority w:val="99"/>
    <w:rsid w:val="00CD57C6"/>
    <w:pPr>
      <w:spacing w:after="120"/>
      <w:ind w:left="360" w:right="86" w:hanging="302"/>
      <w:jc w:val="both"/>
    </w:pPr>
    <w:rPr>
      <w:lang w:eastAsia="en-US"/>
    </w:rPr>
  </w:style>
  <w:style w:type="character" w:customStyle="1" w:styleId="BodyTextIndentChar">
    <w:name w:val="Body Text Indent Char"/>
    <w:basedOn w:val="DefaultParagraphFont"/>
    <w:link w:val="BodyTextIndent"/>
    <w:uiPriority w:val="99"/>
    <w:rsid w:val="00CD57C6"/>
    <w:rPr>
      <w:rFonts w:ascii="Times New Roman" w:eastAsia="SimSun" w:hAnsi="Times New Roman" w:cs="Times New Roman"/>
      <w:sz w:val="24"/>
      <w:szCs w:val="24"/>
    </w:rPr>
  </w:style>
  <w:style w:type="paragraph" w:styleId="Header">
    <w:name w:val="header"/>
    <w:basedOn w:val="Normal"/>
    <w:link w:val="HeaderChar"/>
    <w:uiPriority w:val="99"/>
    <w:unhideWhenUsed/>
    <w:rsid w:val="00B555F3"/>
    <w:pPr>
      <w:tabs>
        <w:tab w:val="center" w:pos="4680"/>
        <w:tab w:val="right" w:pos="9360"/>
      </w:tabs>
    </w:pPr>
  </w:style>
  <w:style w:type="character" w:customStyle="1" w:styleId="HeaderChar">
    <w:name w:val="Header Char"/>
    <w:basedOn w:val="DefaultParagraphFont"/>
    <w:link w:val="Header"/>
    <w:uiPriority w:val="99"/>
    <w:rsid w:val="00B555F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555F3"/>
    <w:pPr>
      <w:tabs>
        <w:tab w:val="center" w:pos="4680"/>
        <w:tab w:val="right" w:pos="9360"/>
      </w:tabs>
    </w:pPr>
  </w:style>
  <w:style w:type="character" w:customStyle="1" w:styleId="FooterChar">
    <w:name w:val="Footer Char"/>
    <w:basedOn w:val="DefaultParagraphFont"/>
    <w:link w:val="Footer"/>
    <w:uiPriority w:val="99"/>
    <w:rsid w:val="00B555F3"/>
    <w:rPr>
      <w:rFonts w:ascii="Times New Roman" w:eastAsia="SimSun" w:hAnsi="Times New Roman" w:cs="Times New Roman"/>
      <w:sz w:val="24"/>
      <w:szCs w:val="24"/>
      <w:lang w:eastAsia="zh-CN"/>
    </w:rPr>
  </w:style>
  <w:style w:type="paragraph" w:styleId="NoSpacing">
    <w:name w:val="No Spacing"/>
    <w:link w:val="NoSpacingChar"/>
    <w:uiPriority w:val="1"/>
    <w:qFormat/>
    <w:rsid w:val="00366FA6"/>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EA3F4B"/>
    <w:rPr>
      <w:rFonts w:ascii="Tahoma" w:hAnsi="Tahoma" w:cs="Tahoma"/>
      <w:sz w:val="16"/>
      <w:szCs w:val="16"/>
    </w:rPr>
  </w:style>
  <w:style w:type="character" w:customStyle="1" w:styleId="BalloonTextChar">
    <w:name w:val="Balloon Text Char"/>
    <w:basedOn w:val="DefaultParagraphFont"/>
    <w:link w:val="BalloonText"/>
    <w:uiPriority w:val="99"/>
    <w:semiHidden/>
    <w:rsid w:val="00EA3F4B"/>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33244C"/>
    <w:rPr>
      <w:sz w:val="16"/>
      <w:szCs w:val="16"/>
    </w:rPr>
  </w:style>
  <w:style w:type="paragraph" w:styleId="CommentText">
    <w:name w:val="annotation text"/>
    <w:basedOn w:val="Normal"/>
    <w:link w:val="CommentTextChar"/>
    <w:uiPriority w:val="99"/>
    <w:semiHidden/>
    <w:unhideWhenUsed/>
    <w:rsid w:val="0033244C"/>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3324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4B2C"/>
    <w:rPr>
      <w:rFonts w:eastAsia="SimSun"/>
      <w:b/>
      <w:bCs/>
      <w:lang w:eastAsia="zh-CN"/>
    </w:rPr>
  </w:style>
  <w:style w:type="character" w:customStyle="1" w:styleId="CommentSubjectChar">
    <w:name w:val="Comment Subject Char"/>
    <w:basedOn w:val="CommentTextChar"/>
    <w:link w:val="CommentSubject"/>
    <w:uiPriority w:val="99"/>
    <w:semiHidden/>
    <w:rsid w:val="00544B2C"/>
    <w:rPr>
      <w:rFonts w:ascii="Times New Roman" w:eastAsia="SimSun" w:hAnsi="Times New Roman" w:cs="Times New Roman"/>
      <w:b/>
      <w:bCs/>
      <w:sz w:val="20"/>
      <w:szCs w:val="20"/>
      <w:lang w:eastAsia="zh-CN"/>
    </w:rPr>
  </w:style>
  <w:style w:type="paragraph" w:styleId="Revision">
    <w:name w:val="Revision"/>
    <w:hidden/>
    <w:uiPriority w:val="99"/>
    <w:semiHidden/>
    <w:rsid w:val="00C4154C"/>
    <w:pPr>
      <w:spacing w:after="0"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Resume Title Char"/>
    <w:link w:val="ListParagraph"/>
    <w:uiPriority w:val="34"/>
    <w:rsid w:val="00A531C0"/>
    <w:rPr>
      <w:rFonts w:ascii="Times New Roman" w:eastAsia="SimSun" w:hAnsi="Times New Roman" w:cs="Times New Roman"/>
      <w:sz w:val="24"/>
      <w:szCs w:val="24"/>
      <w:lang w:eastAsia="zh-CN"/>
    </w:rPr>
  </w:style>
  <w:style w:type="character" w:customStyle="1" w:styleId="NoSpacingChar">
    <w:name w:val="No Spacing Char"/>
    <w:link w:val="NoSpacing"/>
    <w:uiPriority w:val="1"/>
    <w:rsid w:val="00386FB5"/>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C55E-906F-4805-ACD5-F28C33E9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3033</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Status of Implementation of Prior Years' Audit Recommendations</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Implementation of Prior Years' Audit Recommendations</dc:title>
  <dc:creator>COA - Overseas Filipino Bank, Inc.</dc:creator>
  <cp:lastModifiedBy>COA</cp:lastModifiedBy>
  <cp:revision>4</cp:revision>
  <cp:lastPrinted>2023-07-03T05:01:00Z</cp:lastPrinted>
  <dcterms:created xsi:type="dcterms:W3CDTF">2023-07-03T09:35:00Z</dcterms:created>
  <dcterms:modified xsi:type="dcterms:W3CDTF">2023-07-07T13:39:00Z</dcterms:modified>
</cp:coreProperties>
</file>