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13E3E" w14:textId="77777777" w:rsidR="006310E4" w:rsidRPr="004A28F1" w:rsidRDefault="006310E4" w:rsidP="00747A7B">
      <w:pPr>
        <w:pStyle w:val="Heading3"/>
        <w:jc w:val="center"/>
        <w:rPr>
          <w:sz w:val="22"/>
          <w:szCs w:val="22"/>
        </w:rPr>
      </w:pPr>
      <w:bookmarkStart w:id="0" w:name="_GoBack"/>
      <w:bookmarkEnd w:id="0"/>
      <w:r w:rsidRPr="004A28F1">
        <w:rPr>
          <w:sz w:val="22"/>
          <w:szCs w:val="22"/>
        </w:rPr>
        <w:t>OB</w:t>
      </w:r>
      <w:r w:rsidR="002D50DD" w:rsidRPr="004A28F1">
        <w:rPr>
          <w:sz w:val="22"/>
          <w:szCs w:val="22"/>
        </w:rPr>
        <w:t>S</w:t>
      </w:r>
      <w:r w:rsidRPr="004A28F1">
        <w:rPr>
          <w:sz w:val="22"/>
          <w:szCs w:val="22"/>
        </w:rPr>
        <w:t>ERVATIONS AND RECOMMENDATIONS</w:t>
      </w:r>
    </w:p>
    <w:p w14:paraId="6D4A39B3" w14:textId="77777777" w:rsidR="001F5249" w:rsidRPr="004A28F1" w:rsidRDefault="001F5249" w:rsidP="00747A7B">
      <w:pPr>
        <w:jc w:val="both"/>
        <w:rPr>
          <w:rFonts w:ascii="Arial" w:hAnsi="Arial" w:cs="Arial"/>
          <w:b/>
          <w:bCs/>
          <w:sz w:val="22"/>
          <w:szCs w:val="22"/>
        </w:rPr>
      </w:pPr>
    </w:p>
    <w:p w14:paraId="3A357412" w14:textId="77777777" w:rsidR="00192BB1" w:rsidRPr="004A28F1" w:rsidRDefault="00192BB1" w:rsidP="00747A7B">
      <w:pPr>
        <w:jc w:val="both"/>
        <w:rPr>
          <w:rFonts w:ascii="Arial" w:hAnsi="Arial" w:cs="Arial"/>
          <w:b/>
          <w:bCs/>
          <w:sz w:val="22"/>
          <w:szCs w:val="22"/>
        </w:rPr>
      </w:pPr>
    </w:p>
    <w:p w14:paraId="7A1A2BE2" w14:textId="0CFF8FCB" w:rsidR="001F5249" w:rsidRPr="004A28F1" w:rsidRDefault="001F5249" w:rsidP="00DA08FA">
      <w:pPr>
        <w:pStyle w:val="ListParagraph"/>
        <w:numPr>
          <w:ilvl w:val="0"/>
          <w:numId w:val="30"/>
        </w:numPr>
        <w:spacing w:line="276" w:lineRule="auto"/>
        <w:ind w:left="0" w:firstLine="0"/>
        <w:rPr>
          <w:rFonts w:ascii="Arial" w:hAnsi="Arial" w:cs="Arial"/>
          <w:b/>
          <w:bCs/>
          <w:sz w:val="22"/>
          <w:szCs w:val="22"/>
        </w:rPr>
      </w:pPr>
      <w:r w:rsidRPr="004A28F1">
        <w:rPr>
          <w:rFonts w:ascii="Arial" w:hAnsi="Arial" w:cs="Arial"/>
          <w:b/>
          <w:bCs/>
          <w:sz w:val="22"/>
          <w:szCs w:val="22"/>
        </w:rPr>
        <w:t>FINANCIAL ISSUES</w:t>
      </w:r>
    </w:p>
    <w:p w14:paraId="1CCAB7ED" w14:textId="77777777" w:rsidR="001F5249" w:rsidRPr="004A28F1" w:rsidRDefault="001F5249" w:rsidP="00192BB1">
      <w:pPr>
        <w:pStyle w:val="NoSpacing1"/>
        <w:jc w:val="both"/>
      </w:pPr>
    </w:p>
    <w:p w14:paraId="68CDCC98" w14:textId="235BB49A" w:rsidR="00DA08FA" w:rsidRPr="004A28F1" w:rsidRDefault="00C76F7D" w:rsidP="00192BB1">
      <w:pPr>
        <w:pStyle w:val="NoSpacing1"/>
        <w:numPr>
          <w:ilvl w:val="0"/>
          <w:numId w:val="28"/>
        </w:numPr>
        <w:ind w:left="0" w:firstLine="0"/>
        <w:jc w:val="both"/>
        <w:rPr>
          <w:rFonts w:ascii="Arial" w:hAnsi="Arial" w:cs="Arial"/>
          <w:b/>
          <w:lang w:val="en-PH"/>
        </w:rPr>
      </w:pPr>
      <w:bookmarkStart w:id="1" w:name="_Hlk135146003"/>
      <w:r w:rsidRPr="004A28F1">
        <w:rPr>
          <w:rFonts w:ascii="Arial" w:hAnsi="Arial" w:cs="Arial"/>
          <w:b/>
          <w:lang w:val="en-PH"/>
        </w:rPr>
        <w:t>The faithful representation of Property and Equipment</w:t>
      </w:r>
      <w:r w:rsidR="00216F67" w:rsidRPr="004A28F1">
        <w:rPr>
          <w:rFonts w:ascii="Arial" w:hAnsi="Arial" w:cs="Arial"/>
          <w:b/>
          <w:lang w:val="en-PH"/>
        </w:rPr>
        <w:t xml:space="preserve"> </w:t>
      </w:r>
      <w:r w:rsidRPr="004A28F1">
        <w:rPr>
          <w:rFonts w:ascii="Arial" w:hAnsi="Arial" w:cs="Arial"/>
          <w:b/>
          <w:lang w:val="en-PH"/>
        </w:rPr>
        <w:t>account</w:t>
      </w:r>
      <w:r w:rsidR="00192BB1" w:rsidRPr="004A28F1">
        <w:rPr>
          <w:rFonts w:ascii="Arial" w:hAnsi="Arial" w:cs="Arial"/>
          <w:b/>
          <w:lang w:val="en-PH"/>
        </w:rPr>
        <w:t xml:space="preserve"> amount</w:t>
      </w:r>
      <w:r w:rsidR="007F3981" w:rsidRPr="004A28F1">
        <w:rPr>
          <w:rFonts w:ascii="Arial" w:hAnsi="Arial" w:cs="Arial"/>
          <w:b/>
          <w:lang w:val="en-PH"/>
        </w:rPr>
        <w:t>ing to</w:t>
      </w:r>
      <w:r w:rsidR="00192BB1" w:rsidRPr="004A28F1">
        <w:rPr>
          <w:rFonts w:ascii="Arial" w:hAnsi="Arial" w:cs="Arial"/>
          <w:b/>
          <w:lang w:val="en-PH"/>
        </w:rPr>
        <w:t xml:space="preserve"> </w:t>
      </w:r>
      <w:r w:rsidR="007F3981" w:rsidRPr="004A28F1">
        <w:rPr>
          <w:rFonts w:ascii="Arial" w:hAnsi="Arial" w:cs="Arial"/>
          <w:b/>
          <w:bCs/>
          <w:lang w:val="en-PH"/>
        </w:rPr>
        <w:t>P283.004 million</w:t>
      </w:r>
      <w:r w:rsidR="007F3981" w:rsidRPr="004A28F1">
        <w:rPr>
          <w:rFonts w:ascii="Arial" w:hAnsi="Arial" w:cs="Arial"/>
          <w:lang w:val="en-PH"/>
        </w:rPr>
        <w:t xml:space="preserve"> </w:t>
      </w:r>
      <w:r w:rsidRPr="004A28F1">
        <w:rPr>
          <w:rFonts w:ascii="Arial" w:hAnsi="Arial" w:cs="Arial"/>
          <w:b/>
          <w:lang w:val="en-PH"/>
        </w:rPr>
        <w:t>as at December 31, 2022</w:t>
      </w:r>
      <w:r w:rsidR="00CD3814" w:rsidRPr="004A28F1">
        <w:rPr>
          <w:rFonts w:ascii="Arial" w:hAnsi="Arial" w:cs="Arial"/>
          <w:b/>
          <w:lang w:val="en-PH"/>
        </w:rPr>
        <w:t>,</w:t>
      </w:r>
      <w:r w:rsidRPr="004A28F1">
        <w:rPr>
          <w:rFonts w:ascii="Arial" w:hAnsi="Arial" w:cs="Arial"/>
          <w:b/>
          <w:lang w:val="en-PH"/>
        </w:rPr>
        <w:t xml:space="preserve"> </w:t>
      </w:r>
      <w:r w:rsidR="00FB7028" w:rsidRPr="004A28F1">
        <w:rPr>
          <w:rFonts w:ascii="Arial" w:hAnsi="Arial" w:cs="Arial"/>
          <w:b/>
          <w:lang w:val="en-PH"/>
        </w:rPr>
        <w:t>was not</w:t>
      </w:r>
      <w:r w:rsidRPr="004A28F1">
        <w:rPr>
          <w:rFonts w:ascii="Arial" w:hAnsi="Arial" w:cs="Arial"/>
          <w:b/>
          <w:lang w:val="en-PH"/>
        </w:rPr>
        <w:t xml:space="preserve"> </w:t>
      </w:r>
      <w:r w:rsidR="00E2290C" w:rsidRPr="004A28F1">
        <w:rPr>
          <w:rFonts w:ascii="Arial" w:hAnsi="Arial" w:cs="Arial"/>
          <w:b/>
          <w:lang w:val="en-PH"/>
        </w:rPr>
        <w:t xml:space="preserve">established </w:t>
      </w:r>
      <w:r w:rsidRPr="004A28F1">
        <w:rPr>
          <w:rFonts w:ascii="Arial" w:hAnsi="Arial" w:cs="Arial"/>
          <w:b/>
          <w:lang w:val="en-PH"/>
        </w:rPr>
        <w:t>due to</w:t>
      </w:r>
      <w:r w:rsidR="0018409E" w:rsidRPr="004A28F1">
        <w:rPr>
          <w:rFonts w:ascii="Arial" w:hAnsi="Arial" w:cs="Arial"/>
          <w:b/>
          <w:lang w:val="en-PH"/>
        </w:rPr>
        <w:t>:</w:t>
      </w:r>
      <w:r w:rsidR="00EC3549" w:rsidRPr="004A28F1">
        <w:rPr>
          <w:rFonts w:ascii="Arial" w:hAnsi="Arial" w:cs="Arial"/>
          <w:b/>
          <w:lang w:val="en-PH"/>
        </w:rPr>
        <w:t xml:space="preserve"> </w:t>
      </w:r>
      <w:bookmarkStart w:id="2" w:name="_Hlk137819470"/>
      <w:r w:rsidR="002F107E" w:rsidRPr="004A28F1">
        <w:rPr>
          <w:rFonts w:ascii="Arial" w:hAnsi="Arial" w:cs="Arial"/>
          <w:b/>
          <w:lang w:val="en-PH"/>
        </w:rPr>
        <w:t xml:space="preserve">(a) </w:t>
      </w:r>
      <w:r w:rsidR="000D6202" w:rsidRPr="004A28F1">
        <w:rPr>
          <w:rFonts w:ascii="Arial" w:hAnsi="Arial" w:cs="Arial"/>
          <w:b/>
          <w:lang w:val="en-PH"/>
        </w:rPr>
        <w:t>unreconciled variance</w:t>
      </w:r>
      <w:r w:rsidR="00EC3549" w:rsidRPr="004A28F1">
        <w:rPr>
          <w:rFonts w:ascii="Arial" w:hAnsi="Arial" w:cs="Arial"/>
          <w:b/>
          <w:lang w:val="en-PH"/>
        </w:rPr>
        <w:t xml:space="preserve"> </w:t>
      </w:r>
      <w:r w:rsidR="000D6202" w:rsidRPr="004A28F1">
        <w:rPr>
          <w:rFonts w:ascii="Arial" w:hAnsi="Arial" w:cs="Arial"/>
          <w:b/>
          <w:lang w:val="en-PH"/>
        </w:rPr>
        <w:t>amounting to</w:t>
      </w:r>
      <w:r w:rsidR="00EC3549" w:rsidRPr="004A28F1">
        <w:rPr>
          <w:rFonts w:ascii="Arial" w:hAnsi="Arial" w:cs="Arial"/>
          <w:b/>
          <w:lang w:val="en-PH"/>
        </w:rPr>
        <w:t xml:space="preserve"> </w:t>
      </w:r>
      <w:r w:rsidR="00CD3814" w:rsidRPr="004A28F1">
        <w:rPr>
          <w:rFonts w:ascii="Arial" w:hAnsi="Arial" w:cs="Arial"/>
          <w:b/>
          <w:lang w:val="en-PH"/>
        </w:rPr>
        <w:t>P</w:t>
      </w:r>
      <w:r w:rsidR="00EC3549" w:rsidRPr="004A28F1">
        <w:rPr>
          <w:rFonts w:ascii="Arial" w:hAnsi="Arial" w:cs="Arial"/>
          <w:b/>
          <w:lang w:val="en-PH"/>
        </w:rPr>
        <w:t>4</w:t>
      </w:r>
      <w:r w:rsidR="00EC5BE6" w:rsidRPr="004A28F1">
        <w:rPr>
          <w:rFonts w:ascii="Arial" w:hAnsi="Arial" w:cs="Arial"/>
          <w:b/>
          <w:lang w:val="en-PH"/>
        </w:rPr>
        <w:t>2.0</w:t>
      </w:r>
      <w:r w:rsidR="00056D55" w:rsidRPr="004A28F1">
        <w:rPr>
          <w:rFonts w:ascii="Arial" w:hAnsi="Arial" w:cs="Arial"/>
          <w:b/>
          <w:lang w:val="en-PH"/>
        </w:rPr>
        <w:t>20</w:t>
      </w:r>
      <w:r w:rsidR="00EC5BE6" w:rsidRPr="004A28F1">
        <w:rPr>
          <w:rFonts w:ascii="Arial" w:hAnsi="Arial" w:cs="Arial"/>
          <w:b/>
          <w:lang w:val="en-PH"/>
        </w:rPr>
        <w:t xml:space="preserve"> </w:t>
      </w:r>
      <w:r w:rsidR="00EC3549" w:rsidRPr="004A28F1">
        <w:rPr>
          <w:rFonts w:ascii="Arial" w:hAnsi="Arial" w:cs="Arial"/>
          <w:b/>
          <w:lang w:val="en-PH"/>
        </w:rPr>
        <w:t>million between the Report on the Physical Count of Plant, Property and Equipment (RPCPPE)</w:t>
      </w:r>
      <w:bookmarkEnd w:id="2"/>
      <w:r w:rsidR="00882A84" w:rsidRPr="004A28F1">
        <w:rPr>
          <w:rFonts w:ascii="Arial" w:hAnsi="Arial" w:cs="Arial"/>
          <w:b/>
          <w:lang w:val="en-PH"/>
        </w:rPr>
        <w:t xml:space="preserve"> </w:t>
      </w:r>
      <w:r w:rsidR="000D6202" w:rsidRPr="004A28F1">
        <w:rPr>
          <w:rFonts w:ascii="Arial" w:hAnsi="Arial" w:cs="Arial"/>
          <w:b/>
          <w:lang w:val="en-PH"/>
        </w:rPr>
        <w:t>and accounting records</w:t>
      </w:r>
      <w:r w:rsidR="0018409E" w:rsidRPr="004A28F1">
        <w:rPr>
          <w:rFonts w:ascii="Arial" w:hAnsi="Arial" w:cs="Arial"/>
          <w:b/>
          <w:lang w:val="en-PH"/>
        </w:rPr>
        <w:t>;</w:t>
      </w:r>
      <w:r w:rsidR="0037291C" w:rsidRPr="004A28F1">
        <w:rPr>
          <w:rFonts w:ascii="Arial" w:hAnsi="Arial" w:cs="Arial"/>
          <w:b/>
          <w:lang w:val="en-PH"/>
        </w:rPr>
        <w:t xml:space="preserve"> </w:t>
      </w:r>
      <w:r w:rsidRPr="004A28F1">
        <w:rPr>
          <w:rFonts w:ascii="Arial" w:hAnsi="Arial" w:cs="Arial"/>
          <w:b/>
          <w:lang w:val="en-PH"/>
        </w:rPr>
        <w:t>and</w:t>
      </w:r>
      <w:r w:rsidR="002F107E" w:rsidRPr="004A28F1">
        <w:rPr>
          <w:rFonts w:ascii="Arial" w:hAnsi="Arial" w:cs="Arial"/>
          <w:b/>
          <w:lang w:val="en-PH"/>
        </w:rPr>
        <w:t xml:space="preserve"> (b)</w:t>
      </w:r>
      <w:r w:rsidR="00536E5D" w:rsidRPr="004A28F1">
        <w:rPr>
          <w:rFonts w:ascii="Arial" w:hAnsi="Arial" w:cs="Arial"/>
          <w:b/>
          <w:lang w:val="en-PH"/>
        </w:rPr>
        <w:t xml:space="preserve"> </w:t>
      </w:r>
      <w:r w:rsidR="0018409E" w:rsidRPr="004A28F1">
        <w:rPr>
          <w:rFonts w:ascii="Arial" w:hAnsi="Arial" w:cs="Arial"/>
          <w:b/>
          <w:lang w:val="en-PH"/>
        </w:rPr>
        <w:t xml:space="preserve">derecognition of </w:t>
      </w:r>
      <w:r w:rsidR="00FB7028" w:rsidRPr="004A28F1">
        <w:rPr>
          <w:rFonts w:ascii="Arial" w:hAnsi="Arial" w:cs="Arial"/>
          <w:b/>
          <w:lang w:val="en-PH"/>
        </w:rPr>
        <w:t xml:space="preserve">Furniture, Fixture and Equipment amounting to P9.334 million </w:t>
      </w:r>
      <w:r w:rsidR="007F3981" w:rsidRPr="004A28F1">
        <w:rPr>
          <w:rFonts w:ascii="Arial" w:hAnsi="Arial" w:cs="Arial"/>
          <w:b/>
          <w:lang w:val="en-PH"/>
        </w:rPr>
        <w:t xml:space="preserve">not supported with documents. </w:t>
      </w:r>
      <w:r w:rsidRPr="004A28F1">
        <w:rPr>
          <w:rFonts w:ascii="Arial" w:hAnsi="Arial" w:cs="Arial"/>
          <w:b/>
          <w:lang w:val="en-PH"/>
        </w:rPr>
        <w:t xml:space="preserve"> </w:t>
      </w:r>
      <w:bookmarkEnd w:id="1"/>
    </w:p>
    <w:p w14:paraId="34F4B3EB" w14:textId="77777777" w:rsidR="00DA08FA" w:rsidRPr="004A28F1" w:rsidRDefault="00DA08FA" w:rsidP="00192BB1">
      <w:pPr>
        <w:pStyle w:val="NoSpacing1"/>
        <w:jc w:val="both"/>
        <w:rPr>
          <w:rFonts w:ascii="Arial" w:hAnsi="Arial" w:cs="Arial"/>
          <w:bCs/>
          <w:lang w:val="en-PH"/>
        </w:rPr>
      </w:pPr>
    </w:p>
    <w:p w14:paraId="39ABEC54" w14:textId="2BCE7157" w:rsidR="00C76F7D" w:rsidRPr="004A28F1" w:rsidRDefault="00C76F7D" w:rsidP="0085093C">
      <w:pPr>
        <w:pStyle w:val="ListParagraph"/>
        <w:numPr>
          <w:ilvl w:val="1"/>
          <w:numId w:val="28"/>
        </w:numPr>
        <w:tabs>
          <w:tab w:val="left" w:pos="0"/>
        </w:tabs>
        <w:spacing w:after="20"/>
        <w:ind w:left="0" w:firstLine="0"/>
        <w:jc w:val="both"/>
        <w:rPr>
          <w:rFonts w:ascii="Arial" w:hAnsi="Arial" w:cs="Arial"/>
          <w:bCs/>
          <w:sz w:val="22"/>
          <w:szCs w:val="22"/>
          <w:lang w:val="en-PH"/>
        </w:rPr>
      </w:pPr>
      <w:r w:rsidRPr="004A28F1">
        <w:rPr>
          <w:rFonts w:ascii="Arial" w:hAnsi="Arial" w:cs="Arial"/>
          <w:bCs/>
          <w:sz w:val="22"/>
          <w:szCs w:val="22"/>
          <w:lang w:val="en-PH"/>
        </w:rPr>
        <w:t>Paragraph</w:t>
      </w:r>
      <w:r w:rsidR="00283C50" w:rsidRPr="004A28F1">
        <w:rPr>
          <w:rFonts w:ascii="Arial" w:hAnsi="Arial" w:cs="Arial"/>
          <w:bCs/>
          <w:sz w:val="22"/>
          <w:szCs w:val="22"/>
          <w:lang w:val="en-PH"/>
        </w:rPr>
        <w:t>s</w:t>
      </w:r>
      <w:r w:rsidRPr="004A28F1">
        <w:rPr>
          <w:rFonts w:ascii="Arial" w:hAnsi="Arial" w:cs="Arial"/>
          <w:bCs/>
          <w:sz w:val="22"/>
          <w:szCs w:val="22"/>
          <w:lang w:val="en-PH"/>
        </w:rPr>
        <w:t xml:space="preserve"> 2.12 </w:t>
      </w:r>
      <w:r w:rsidR="00283C50" w:rsidRPr="004A28F1">
        <w:rPr>
          <w:rFonts w:ascii="Arial" w:hAnsi="Arial" w:cs="Arial"/>
          <w:bCs/>
          <w:sz w:val="22"/>
          <w:szCs w:val="22"/>
          <w:lang w:val="en-PH"/>
        </w:rPr>
        <w:t xml:space="preserve">and 2.13 </w:t>
      </w:r>
      <w:r w:rsidRPr="004A28F1">
        <w:rPr>
          <w:rFonts w:ascii="Arial" w:hAnsi="Arial" w:cs="Arial"/>
          <w:bCs/>
          <w:sz w:val="22"/>
          <w:szCs w:val="22"/>
          <w:lang w:val="en-PH"/>
        </w:rPr>
        <w:t>of the 2018 Conceptual Framework for Financial Reporting states that:</w:t>
      </w:r>
    </w:p>
    <w:p w14:paraId="139625EA" w14:textId="77777777" w:rsidR="00C76F7D" w:rsidRPr="004A28F1" w:rsidRDefault="00C76F7D" w:rsidP="00C76F7D">
      <w:pPr>
        <w:shd w:val="clear" w:color="auto" w:fill="FFFFFF"/>
        <w:ind w:left="360"/>
        <w:contextualSpacing/>
        <w:jc w:val="both"/>
        <w:rPr>
          <w:rFonts w:ascii="Arial" w:hAnsi="Arial" w:cs="Arial"/>
          <w:bCs/>
          <w:sz w:val="22"/>
          <w:szCs w:val="22"/>
          <w:lang w:val="en-PH"/>
        </w:rPr>
      </w:pPr>
    </w:p>
    <w:p w14:paraId="5316F201" w14:textId="60A4053A" w:rsidR="00CA032D" w:rsidRPr="004A28F1" w:rsidRDefault="00283C50" w:rsidP="008B7793">
      <w:pPr>
        <w:tabs>
          <w:tab w:val="left" w:pos="7938"/>
        </w:tabs>
        <w:autoSpaceDE w:val="0"/>
        <w:autoSpaceDN w:val="0"/>
        <w:adjustRightInd w:val="0"/>
        <w:spacing w:after="20"/>
        <w:ind w:left="1170" w:right="702"/>
        <w:jc w:val="both"/>
        <w:rPr>
          <w:rFonts w:ascii="Arial" w:hAnsi="Arial" w:cs="Arial"/>
          <w:bCs/>
          <w:i/>
          <w:iCs/>
          <w:sz w:val="22"/>
          <w:szCs w:val="22"/>
          <w:lang w:val="en-PH"/>
        </w:rPr>
      </w:pPr>
      <w:r w:rsidRPr="004A28F1">
        <w:rPr>
          <w:rFonts w:ascii="Arial" w:hAnsi="Arial" w:cs="Arial"/>
          <w:bCs/>
          <w:i/>
          <w:iCs/>
          <w:sz w:val="22"/>
          <w:szCs w:val="22"/>
          <w:lang w:val="en-PH"/>
        </w:rPr>
        <w:t xml:space="preserve">2.12 </w:t>
      </w:r>
      <w:r w:rsidR="00C76F7D" w:rsidRPr="004A28F1">
        <w:rPr>
          <w:rFonts w:ascii="Arial" w:hAnsi="Arial" w:cs="Arial"/>
          <w:bCs/>
          <w:i/>
          <w:iCs/>
          <w:sz w:val="22"/>
          <w:szCs w:val="22"/>
          <w:lang w:val="en-PH"/>
        </w:rPr>
        <w:t xml:space="preserve">Financial reports represent economic phenomena in words and numbers. </w:t>
      </w:r>
      <w:r w:rsidR="00C76F7D" w:rsidRPr="004A28F1">
        <w:rPr>
          <w:rFonts w:ascii="Arial" w:hAnsi="Arial" w:cs="Arial"/>
          <w:b/>
          <w:i/>
          <w:iCs/>
          <w:sz w:val="22"/>
          <w:szCs w:val="22"/>
          <w:lang w:val="en-PH"/>
        </w:rPr>
        <w:t>To be useful, financial information</w:t>
      </w:r>
      <w:r w:rsidR="00C76F7D" w:rsidRPr="004A28F1">
        <w:rPr>
          <w:rFonts w:ascii="Arial" w:hAnsi="Arial" w:cs="Arial"/>
          <w:bCs/>
          <w:i/>
          <w:iCs/>
          <w:sz w:val="22"/>
          <w:szCs w:val="22"/>
          <w:lang w:val="en-PH"/>
        </w:rPr>
        <w:t xml:space="preserve"> </w:t>
      </w:r>
      <w:r w:rsidR="00C76F7D" w:rsidRPr="004A28F1">
        <w:rPr>
          <w:rFonts w:ascii="Arial" w:hAnsi="Arial" w:cs="Arial"/>
          <w:b/>
          <w:i/>
          <w:iCs/>
          <w:sz w:val="22"/>
          <w:szCs w:val="22"/>
          <w:lang w:val="en-PH"/>
        </w:rPr>
        <w:t>must not only represent relevant phenomena, but it must also faithfully represent the substance of the phenomena</w:t>
      </w:r>
      <w:r w:rsidR="00C76F7D" w:rsidRPr="004A28F1">
        <w:rPr>
          <w:rFonts w:ascii="Arial" w:hAnsi="Arial" w:cs="Arial"/>
          <w:bCs/>
          <w:i/>
          <w:iCs/>
          <w:sz w:val="22"/>
          <w:szCs w:val="22"/>
          <w:lang w:val="en-PH"/>
        </w:rPr>
        <w:t xml:space="preserve"> that it purports to represent. Xxx</w:t>
      </w:r>
      <w:r w:rsidRPr="004A28F1">
        <w:rPr>
          <w:rFonts w:ascii="Arial" w:hAnsi="Arial" w:cs="Arial"/>
          <w:bCs/>
          <w:i/>
          <w:iCs/>
          <w:sz w:val="22"/>
          <w:szCs w:val="22"/>
          <w:lang w:val="en-PH"/>
        </w:rPr>
        <w:t>.</w:t>
      </w:r>
    </w:p>
    <w:p w14:paraId="178DDB42" w14:textId="77777777" w:rsidR="00CA032D" w:rsidRPr="004A28F1" w:rsidRDefault="00CA032D" w:rsidP="008B7793">
      <w:pPr>
        <w:tabs>
          <w:tab w:val="left" w:pos="7938"/>
        </w:tabs>
        <w:autoSpaceDE w:val="0"/>
        <w:autoSpaceDN w:val="0"/>
        <w:adjustRightInd w:val="0"/>
        <w:spacing w:after="20"/>
        <w:ind w:left="1170" w:right="702"/>
        <w:jc w:val="both"/>
        <w:rPr>
          <w:rFonts w:ascii="Arial" w:hAnsi="Arial" w:cs="Arial"/>
          <w:i/>
          <w:iCs/>
          <w:sz w:val="22"/>
          <w:szCs w:val="22"/>
        </w:rPr>
      </w:pPr>
    </w:p>
    <w:p w14:paraId="5D7C02F4" w14:textId="3D3CB46E" w:rsidR="00CA032D" w:rsidRPr="004A28F1" w:rsidRDefault="00283C50" w:rsidP="0085093C">
      <w:pPr>
        <w:tabs>
          <w:tab w:val="left" w:pos="7938"/>
        </w:tabs>
        <w:autoSpaceDE w:val="0"/>
        <w:autoSpaceDN w:val="0"/>
        <w:adjustRightInd w:val="0"/>
        <w:spacing w:after="20"/>
        <w:ind w:left="1170" w:right="702"/>
        <w:jc w:val="both"/>
        <w:rPr>
          <w:rFonts w:ascii="Arial" w:hAnsi="Arial" w:cs="Arial"/>
          <w:bCs/>
          <w:i/>
          <w:iCs/>
          <w:sz w:val="22"/>
          <w:szCs w:val="22"/>
          <w:lang w:val="en-PH"/>
        </w:rPr>
      </w:pPr>
      <w:r w:rsidRPr="004A28F1">
        <w:rPr>
          <w:rFonts w:ascii="Arial" w:hAnsi="Arial" w:cs="Arial"/>
          <w:i/>
          <w:iCs/>
          <w:sz w:val="22"/>
          <w:szCs w:val="22"/>
        </w:rPr>
        <w:t xml:space="preserve">2.13 </w:t>
      </w:r>
      <w:r w:rsidR="00CA032D" w:rsidRPr="004A28F1">
        <w:rPr>
          <w:rFonts w:ascii="Arial" w:hAnsi="Arial" w:cs="Arial"/>
          <w:b/>
          <w:bCs/>
          <w:i/>
          <w:iCs/>
          <w:sz w:val="22"/>
          <w:szCs w:val="22"/>
        </w:rPr>
        <w:t>To be a perfectly faithful representation</w:t>
      </w:r>
      <w:r w:rsidR="00CA032D" w:rsidRPr="004A28F1">
        <w:rPr>
          <w:rFonts w:ascii="Arial" w:hAnsi="Arial" w:cs="Arial"/>
          <w:i/>
          <w:iCs/>
          <w:sz w:val="22"/>
          <w:szCs w:val="22"/>
        </w:rPr>
        <w:t xml:space="preserve">, </w:t>
      </w:r>
      <w:r w:rsidR="00CA032D" w:rsidRPr="004A28F1">
        <w:rPr>
          <w:rFonts w:ascii="Arial" w:hAnsi="Arial" w:cs="Arial"/>
          <w:b/>
          <w:bCs/>
          <w:i/>
          <w:iCs/>
          <w:sz w:val="22"/>
          <w:szCs w:val="22"/>
        </w:rPr>
        <w:t>a depiction would</w:t>
      </w:r>
      <w:r w:rsidR="00CA032D" w:rsidRPr="004A28F1">
        <w:rPr>
          <w:rFonts w:ascii="Arial" w:hAnsi="Arial" w:cs="Arial"/>
          <w:i/>
          <w:iCs/>
          <w:sz w:val="22"/>
          <w:szCs w:val="22"/>
        </w:rPr>
        <w:t xml:space="preserve"> have three characteristics. It would</w:t>
      </w:r>
      <w:r w:rsidR="00CA032D" w:rsidRPr="004A28F1">
        <w:rPr>
          <w:rFonts w:ascii="Arial" w:hAnsi="Arial" w:cs="Arial"/>
          <w:b/>
          <w:bCs/>
          <w:i/>
          <w:iCs/>
          <w:sz w:val="22"/>
          <w:szCs w:val="22"/>
        </w:rPr>
        <w:t xml:space="preserve"> be complete, neutral and free from error</w:t>
      </w:r>
      <w:r w:rsidR="00CA032D" w:rsidRPr="004A28F1">
        <w:rPr>
          <w:rFonts w:ascii="Arial" w:hAnsi="Arial" w:cs="Arial"/>
          <w:i/>
          <w:iCs/>
          <w:sz w:val="22"/>
          <w:szCs w:val="22"/>
        </w:rPr>
        <w:t>. Of course, perfection is seldom, if ever, achievable. The Board’s objective is to maximise those qualities to the extent possible.</w:t>
      </w:r>
    </w:p>
    <w:p w14:paraId="1BCC5C1E" w14:textId="77777777" w:rsidR="008B7793" w:rsidRPr="004A28F1" w:rsidRDefault="008B7793" w:rsidP="0085093C">
      <w:pPr>
        <w:pStyle w:val="ListParagraph"/>
        <w:tabs>
          <w:tab w:val="left" w:pos="0"/>
        </w:tabs>
        <w:spacing w:after="20"/>
        <w:ind w:left="0"/>
        <w:jc w:val="both"/>
        <w:rPr>
          <w:rFonts w:ascii="Arial" w:hAnsi="Arial" w:cs="Arial"/>
          <w:sz w:val="22"/>
          <w:szCs w:val="22"/>
          <w:lang w:val="en-PH"/>
        </w:rPr>
      </w:pPr>
    </w:p>
    <w:p w14:paraId="34400F8A" w14:textId="27AC1231" w:rsidR="00CA032D" w:rsidRPr="004A28F1" w:rsidRDefault="00DE0311" w:rsidP="0085093C">
      <w:pPr>
        <w:pStyle w:val="ListParagraph"/>
        <w:numPr>
          <w:ilvl w:val="1"/>
          <w:numId w:val="28"/>
        </w:numPr>
        <w:tabs>
          <w:tab w:val="left" w:pos="0"/>
        </w:tabs>
        <w:spacing w:after="20"/>
        <w:ind w:left="0" w:firstLine="0"/>
        <w:jc w:val="both"/>
        <w:rPr>
          <w:rFonts w:ascii="Arial" w:eastAsia="MS Mincho" w:hAnsi="Arial"/>
          <w:i/>
          <w:iCs/>
          <w:sz w:val="22"/>
        </w:rPr>
      </w:pPr>
      <w:r w:rsidRPr="004A28F1">
        <w:rPr>
          <w:rFonts w:ascii="Arial" w:hAnsi="Arial" w:cs="Arial"/>
          <w:sz w:val="22"/>
          <w:szCs w:val="22"/>
          <w:lang w:val="en-PH"/>
        </w:rPr>
        <w:t xml:space="preserve">On the other hand, </w:t>
      </w:r>
      <w:r w:rsidR="00CA032D" w:rsidRPr="004A28F1">
        <w:rPr>
          <w:rFonts w:ascii="Arial" w:hAnsi="Arial" w:cs="Arial"/>
          <w:sz w:val="22"/>
          <w:szCs w:val="22"/>
          <w:lang w:val="en-PH"/>
        </w:rPr>
        <w:t xml:space="preserve">COA Circular No. 80-124 dated January 18, 1980, on </w:t>
      </w:r>
      <w:r w:rsidR="00CA032D" w:rsidRPr="004A28F1">
        <w:rPr>
          <w:rFonts w:ascii="Arial" w:eastAsia="MS Mincho" w:hAnsi="Arial"/>
          <w:sz w:val="22"/>
        </w:rPr>
        <w:t>inventory of fixed assets of Government-Owned and/or Controlled Corporations and Subsidiaries, provides that</w:t>
      </w:r>
      <w:r w:rsidR="00216F67" w:rsidRPr="004A28F1">
        <w:rPr>
          <w:rFonts w:ascii="Arial" w:eastAsia="MS Mincho" w:hAnsi="Arial"/>
          <w:sz w:val="22"/>
        </w:rPr>
        <w:t>:</w:t>
      </w:r>
      <w:r w:rsidR="00CA032D" w:rsidRPr="004A28F1">
        <w:rPr>
          <w:rFonts w:ascii="Arial" w:eastAsia="MS Mincho" w:hAnsi="Arial"/>
          <w:i/>
          <w:iCs/>
          <w:sz w:val="22"/>
        </w:rPr>
        <w:t xml:space="preserve"> </w:t>
      </w:r>
      <w:r w:rsidR="008E786B" w:rsidRPr="004A28F1">
        <w:rPr>
          <w:rFonts w:ascii="Arial" w:eastAsia="MS Mincho" w:hAnsi="Arial"/>
          <w:i/>
          <w:iCs/>
          <w:sz w:val="22"/>
        </w:rPr>
        <w:t>(V.1)</w:t>
      </w:r>
      <w:r w:rsidR="00192BB1" w:rsidRPr="004A28F1">
        <w:rPr>
          <w:rFonts w:ascii="Arial" w:eastAsia="MS Mincho" w:hAnsi="Arial"/>
          <w:i/>
          <w:iCs/>
          <w:sz w:val="22"/>
        </w:rPr>
        <w:t xml:space="preserve"> </w:t>
      </w:r>
      <w:r w:rsidR="00C345CC" w:rsidRPr="004A28F1">
        <w:rPr>
          <w:rFonts w:ascii="Arial" w:eastAsia="MS Mincho" w:hAnsi="Arial"/>
          <w:i/>
          <w:iCs/>
          <w:sz w:val="22"/>
        </w:rPr>
        <w:t>a representative of the Auditor shall witness the inventory-taking</w:t>
      </w:r>
      <w:r w:rsidR="00216F67" w:rsidRPr="004A28F1">
        <w:rPr>
          <w:rFonts w:ascii="Arial" w:eastAsia="MS Mincho" w:hAnsi="Arial"/>
          <w:i/>
          <w:iCs/>
          <w:sz w:val="22"/>
        </w:rPr>
        <w:t>,</w:t>
      </w:r>
      <w:r w:rsidR="00C345CC" w:rsidRPr="004A28F1">
        <w:rPr>
          <w:rFonts w:ascii="Arial" w:eastAsia="MS Mincho" w:hAnsi="Arial"/>
          <w:i/>
          <w:iCs/>
          <w:sz w:val="22"/>
        </w:rPr>
        <w:t xml:space="preserve"> </w:t>
      </w:r>
      <w:r w:rsidR="00C345CC" w:rsidRPr="004A28F1">
        <w:rPr>
          <w:rFonts w:ascii="Arial" w:eastAsia="MS Mincho" w:hAnsi="Arial"/>
          <w:sz w:val="22"/>
        </w:rPr>
        <w:t>and that</w:t>
      </w:r>
      <w:r w:rsidR="008E786B" w:rsidRPr="004A28F1">
        <w:rPr>
          <w:rFonts w:ascii="Arial" w:eastAsia="MS Mincho" w:hAnsi="Arial"/>
          <w:sz w:val="22"/>
        </w:rPr>
        <w:t xml:space="preserve"> </w:t>
      </w:r>
      <w:r w:rsidR="008E786B" w:rsidRPr="004A28F1">
        <w:rPr>
          <w:rFonts w:ascii="Arial" w:eastAsia="MS Mincho" w:hAnsi="Arial"/>
          <w:i/>
          <w:iCs/>
          <w:sz w:val="22"/>
        </w:rPr>
        <w:t>(V.4)</w:t>
      </w:r>
      <w:r w:rsidR="00192BB1" w:rsidRPr="004A28F1">
        <w:rPr>
          <w:rFonts w:ascii="Arial" w:eastAsia="MS Mincho" w:hAnsi="Arial"/>
          <w:i/>
          <w:iCs/>
          <w:sz w:val="22"/>
        </w:rPr>
        <w:t xml:space="preserve"> </w:t>
      </w:r>
      <w:r w:rsidR="00CA032D" w:rsidRPr="004A28F1">
        <w:rPr>
          <w:rFonts w:ascii="Arial" w:eastAsia="MS Mincho" w:hAnsi="Arial"/>
          <w:i/>
          <w:iCs/>
          <w:sz w:val="22"/>
        </w:rPr>
        <w:t>the reports shall be properly reconciled with accounting and inventory records</w:t>
      </w:r>
      <w:r w:rsidR="008E786B" w:rsidRPr="004A28F1">
        <w:rPr>
          <w:rFonts w:ascii="Arial" w:eastAsia="MS Mincho" w:hAnsi="Arial"/>
          <w:i/>
          <w:iCs/>
          <w:sz w:val="22"/>
        </w:rPr>
        <w:t>.</w:t>
      </w:r>
    </w:p>
    <w:p w14:paraId="1473E352" w14:textId="77777777" w:rsidR="00CA032D" w:rsidRPr="004A28F1" w:rsidRDefault="00CA032D" w:rsidP="0085093C">
      <w:pPr>
        <w:pStyle w:val="ListParagraph"/>
        <w:tabs>
          <w:tab w:val="left" w:pos="0"/>
        </w:tabs>
        <w:spacing w:after="20"/>
        <w:ind w:left="0"/>
        <w:jc w:val="both"/>
        <w:rPr>
          <w:rFonts w:ascii="Arial" w:hAnsi="Arial" w:cs="Arial"/>
          <w:sz w:val="22"/>
          <w:szCs w:val="22"/>
          <w:lang w:val="en-PH"/>
        </w:rPr>
      </w:pPr>
    </w:p>
    <w:p w14:paraId="0D8A493A" w14:textId="4747A69D" w:rsidR="00EC190C" w:rsidRPr="004A28F1" w:rsidRDefault="00DE0311" w:rsidP="00E2290C">
      <w:pPr>
        <w:pStyle w:val="ListParagraph"/>
        <w:numPr>
          <w:ilvl w:val="1"/>
          <w:numId w:val="28"/>
        </w:numPr>
        <w:tabs>
          <w:tab w:val="left" w:pos="0"/>
        </w:tabs>
        <w:spacing w:after="20"/>
        <w:ind w:left="0" w:firstLine="0"/>
        <w:jc w:val="both"/>
        <w:rPr>
          <w:rFonts w:ascii="Arial" w:hAnsi="Arial" w:cs="Arial"/>
          <w:bCs/>
          <w:sz w:val="22"/>
          <w:szCs w:val="22"/>
          <w:lang w:val="en-PH"/>
        </w:rPr>
      </w:pPr>
      <w:r w:rsidRPr="004A28F1">
        <w:rPr>
          <w:rFonts w:ascii="Arial" w:hAnsi="Arial" w:cs="Arial"/>
          <w:bCs/>
          <w:sz w:val="22"/>
          <w:szCs w:val="22"/>
          <w:lang w:val="en-PH"/>
        </w:rPr>
        <w:t>Moreover, p</w:t>
      </w:r>
      <w:r w:rsidR="00EC190C" w:rsidRPr="004A28F1">
        <w:rPr>
          <w:rFonts w:ascii="Arial" w:hAnsi="Arial" w:cs="Arial"/>
          <w:bCs/>
          <w:sz w:val="22"/>
          <w:szCs w:val="22"/>
          <w:lang w:val="en-PH"/>
        </w:rPr>
        <w:t>ertinent provisions of COA Circular No. 2020-006 re: Guidelines and Procedures in the Conduct of Physical Count of Property, Plant and Equipment (PPE), Recognition of PPE Items Found at Station, and Disposition for Non-existing/Missing PPE Items, for One-Time Cleansing of PPE Account Balances of Government Agencies are:</w:t>
      </w:r>
    </w:p>
    <w:p w14:paraId="3C9DC4B3" w14:textId="77777777" w:rsidR="00EC190C" w:rsidRPr="004A28F1" w:rsidRDefault="00EC190C" w:rsidP="00E2290C">
      <w:pPr>
        <w:pStyle w:val="ListParagraph"/>
        <w:tabs>
          <w:tab w:val="left" w:pos="0"/>
        </w:tabs>
        <w:spacing w:after="20"/>
        <w:ind w:left="0"/>
        <w:jc w:val="both"/>
        <w:rPr>
          <w:rFonts w:ascii="Arial" w:hAnsi="Arial" w:cs="Arial"/>
          <w:sz w:val="22"/>
          <w:szCs w:val="22"/>
          <w:lang w:val="en-PH"/>
        </w:rPr>
      </w:pPr>
    </w:p>
    <w:p w14:paraId="49AAD5DD" w14:textId="77777777" w:rsidR="00EC190C" w:rsidRPr="004A28F1" w:rsidRDefault="00EC190C" w:rsidP="00E2290C">
      <w:pPr>
        <w:pStyle w:val="ListParagraph"/>
        <w:tabs>
          <w:tab w:val="left" w:pos="0"/>
        </w:tabs>
        <w:spacing w:after="20"/>
        <w:ind w:left="567"/>
        <w:jc w:val="both"/>
        <w:rPr>
          <w:rFonts w:ascii="Arial" w:hAnsi="Arial" w:cs="Arial"/>
          <w:bCs/>
          <w:i/>
          <w:iCs/>
          <w:sz w:val="22"/>
          <w:szCs w:val="22"/>
          <w:lang w:val="en-PH"/>
        </w:rPr>
      </w:pPr>
      <w:r w:rsidRPr="004A28F1">
        <w:rPr>
          <w:rFonts w:ascii="Arial" w:hAnsi="Arial" w:cs="Arial"/>
          <w:bCs/>
          <w:i/>
          <w:iCs/>
          <w:sz w:val="22"/>
          <w:szCs w:val="22"/>
          <w:lang w:val="en-PH"/>
        </w:rPr>
        <w:t>Inventory taking</w:t>
      </w:r>
    </w:p>
    <w:p w14:paraId="39DB4BB6" w14:textId="77777777" w:rsidR="00EC190C" w:rsidRPr="004A28F1" w:rsidRDefault="00EC190C" w:rsidP="00E2290C">
      <w:pPr>
        <w:pStyle w:val="ListParagraph"/>
        <w:tabs>
          <w:tab w:val="left" w:pos="0"/>
        </w:tabs>
        <w:spacing w:after="20"/>
        <w:ind w:left="567"/>
        <w:jc w:val="both"/>
        <w:rPr>
          <w:rFonts w:ascii="Arial" w:hAnsi="Arial" w:cs="Arial"/>
          <w:bCs/>
          <w:i/>
          <w:iCs/>
          <w:sz w:val="22"/>
          <w:szCs w:val="22"/>
          <w:lang w:val="en-PH"/>
        </w:rPr>
      </w:pPr>
    </w:p>
    <w:p w14:paraId="2CF46973" w14:textId="77777777" w:rsidR="00EC190C" w:rsidRPr="004A28F1" w:rsidRDefault="00EC190C" w:rsidP="00E2290C">
      <w:pPr>
        <w:pStyle w:val="ListParagraph"/>
        <w:tabs>
          <w:tab w:val="left" w:pos="0"/>
        </w:tabs>
        <w:spacing w:after="20"/>
        <w:ind w:left="567" w:right="418"/>
        <w:jc w:val="both"/>
        <w:rPr>
          <w:rFonts w:ascii="Arial" w:hAnsi="Arial" w:cs="Arial"/>
          <w:bCs/>
          <w:i/>
          <w:iCs/>
          <w:sz w:val="22"/>
          <w:szCs w:val="22"/>
          <w:lang w:val="en-PH"/>
        </w:rPr>
      </w:pPr>
      <w:r w:rsidRPr="004A28F1">
        <w:rPr>
          <w:rFonts w:ascii="Arial" w:hAnsi="Arial" w:cs="Arial"/>
          <w:bCs/>
          <w:i/>
          <w:iCs/>
          <w:sz w:val="22"/>
          <w:szCs w:val="22"/>
          <w:lang w:val="en-PH"/>
        </w:rPr>
        <w:t>6.2.3 The physical count shall be recorded/documented daily in a standard Inventory Count Report, using the format in Annex A of this Circular, which shall be used as the basis in the preparation of the RPCPPE after the physical count.</w:t>
      </w:r>
    </w:p>
    <w:p w14:paraId="377E1C92" w14:textId="77777777" w:rsidR="00EC190C" w:rsidRPr="004A28F1" w:rsidRDefault="00EC190C" w:rsidP="00E2290C">
      <w:pPr>
        <w:pStyle w:val="ListParagraph"/>
        <w:tabs>
          <w:tab w:val="left" w:pos="0"/>
        </w:tabs>
        <w:spacing w:after="20"/>
        <w:ind w:left="567" w:right="418"/>
        <w:jc w:val="both"/>
        <w:rPr>
          <w:rFonts w:ascii="Arial" w:hAnsi="Arial" w:cs="Arial"/>
          <w:bCs/>
          <w:i/>
          <w:iCs/>
          <w:sz w:val="22"/>
          <w:szCs w:val="22"/>
          <w:lang w:val="en-PH"/>
        </w:rPr>
      </w:pPr>
    </w:p>
    <w:p w14:paraId="7C1AE4ED" w14:textId="77777777" w:rsidR="00EC190C" w:rsidRPr="004A28F1" w:rsidRDefault="00EC190C" w:rsidP="00E2290C">
      <w:pPr>
        <w:pStyle w:val="ListParagraph"/>
        <w:tabs>
          <w:tab w:val="left" w:pos="0"/>
        </w:tabs>
        <w:spacing w:after="20"/>
        <w:ind w:left="567" w:right="418"/>
        <w:jc w:val="both"/>
        <w:rPr>
          <w:rFonts w:ascii="Arial" w:hAnsi="Arial" w:cs="Arial"/>
          <w:bCs/>
          <w:i/>
          <w:iCs/>
          <w:sz w:val="22"/>
          <w:szCs w:val="22"/>
          <w:lang w:val="en-PH"/>
        </w:rPr>
      </w:pPr>
      <w:r w:rsidRPr="004A28F1">
        <w:rPr>
          <w:rFonts w:ascii="Arial" w:hAnsi="Arial" w:cs="Arial"/>
          <w:bCs/>
          <w:i/>
          <w:iCs/>
          <w:sz w:val="22"/>
          <w:szCs w:val="22"/>
          <w:lang w:val="en-PH"/>
        </w:rPr>
        <w:t>6.2.10 Upon completion of the physical count, the Inventory Committee shall prepare the RPCPPE, using the prescribed format under the Accounting Manuals of the respective Sectors.</w:t>
      </w:r>
    </w:p>
    <w:p w14:paraId="5F80B0FF" w14:textId="77777777" w:rsidR="00EC190C" w:rsidRPr="004A28F1" w:rsidRDefault="00EC190C" w:rsidP="00E2290C">
      <w:pPr>
        <w:tabs>
          <w:tab w:val="left" w:pos="0"/>
        </w:tabs>
        <w:spacing w:after="20"/>
        <w:ind w:right="418"/>
        <w:jc w:val="both"/>
        <w:rPr>
          <w:rFonts w:ascii="Arial" w:hAnsi="Arial" w:cs="Arial"/>
          <w:bCs/>
          <w:i/>
          <w:iCs/>
          <w:sz w:val="22"/>
          <w:szCs w:val="22"/>
          <w:lang w:val="en-PH"/>
        </w:rPr>
      </w:pPr>
    </w:p>
    <w:p w14:paraId="67130BB7" w14:textId="77777777" w:rsidR="00EC190C" w:rsidRPr="004A28F1" w:rsidRDefault="00EC190C" w:rsidP="00E2290C">
      <w:pPr>
        <w:pStyle w:val="ListParagraph"/>
        <w:tabs>
          <w:tab w:val="left" w:pos="0"/>
          <w:tab w:val="left" w:pos="1134"/>
          <w:tab w:val="left" w:pos="1843"/>
          <w:tab w:val="left" w:pos="1985"/>
        </w:tabs>
        <w:spacing w:after="20"/>
        <w:ind w:left="567" w:right="418"/>
        <w:jc w:val="both"/>
        <w:rPr>
          <w:rFonts w:ascii="Arial" w:hAnsi="Arial" w:cs="Arial"/>
          <w:bCs/>
          <w:i/>
          <w:iCs/>
          <w:sz w:val="22"/>
          <w:szCs w:val="22"/>
          <w:lang w:val="en-PH"/>
        </w:rPr>
      </w:pPr>
      <w:r w:rsidRPr="004A28F1">
        <w:rPr>
          <w:rFonts w:ascii="Arial" w:hAnsi="Arial" w:cs="Arial"/>
          <w:bCs/>
          <w:i/>
          <w:iCs/>
          <w:sz w:val="22"/>
          <w:szCs w:val="22"/>
          <w:lang w:val="en-PH"/>
        </w:rPr>
        <w:t xml:space="preserve">6.3 </w:t>
      </w:r>
      <w:r w:rsidRPr="004A28F1">
        <w:rPr>
          <w:rFonts w:ascii="Arial" w:hAnsi="Arial" w:cs="Arial"/>
          <w:bCs/>
          <w:i/>
          <w:iCs/>
          <w:sz w:val="22"/>
          <w:szCs w:val="22"/>
          <w:lang w:val="en-PH"/>
        </w:rPr>
        <w:tab/>
        <w:t>Reconciliation of inventory count per RPCPPE with property and accounting records</w:t>
      </w:r>
    </w:p>
    <w:p w14:paraId="60B54697" w14:textId="77777777" w:rsidR="00EC190C" w:rsidRPr="004A28F1" w:rsidRDefault="00EC190C" w:rsidP="00E2290C">
      <w:pPr>
        <w:pStyle w:val="ListParagraph"/>
        <w:tabs>
          <w:tab w:val="left" w:pos="0"/>
        </w:tabs>
        <w:spacing w:after="20"/>
        <w:ind w:left="1276" w:right="418"/>
        <w:jc w:val="both"/>
        <w:rPr>
          <w:rFonts w:ascii="Arial" w:hAnsi="Arial" w:cs="Arial"/>
          <w:bCs/>
          <w:sz w:val="22"/>
          <w:szCs w:val="22"/>
          <w:lang w:val="en-PH"/>
        </w:rPr>
      </w:pPr>
    </w:p>
    <w:p w14:paraId="25620A44" w14:textId="1CB086CD" w:rsidR="00EC190C" w:rsidRPr="004A28F1" w:rsidRDefault="00EC190C" w:rsidP="00E2290C">
      <w:pPr>
        <w:pStyle w:val="ListParagraph"/>
        <w:tabs>
          <w:tab w:val="left" w:pos="0"/>
          <w:tab w:val="left" w:pos="1701"/>
        </w:tabs>
        <w:spacing w:after="20"/>
        <w:ind w:left="567" w:right="418" w:firstLine="567"/>
        <w:jc w:val="both"/>
        <w:rPr>
          <w:rFonts w:ascii="Arial" w:hAnsi="Arial" w:cs="Arial"/>
          <w:bCs/>
          <w:i/>
          <w:iCs/>
          <w:sz w:val="22"/>
          <w:szCs w:val="22"/>
          <w:lang w:val="en-PH"/>
        </w:rPr>
      </w:pPr>
      <w:r w:rsidRPr="004A28F1">
        <w:rPr>
          <w:rFonts w:ascii="Arial" w:hAnsi="Arial" w:cs="Arial"/>
          <w:bCs/>
          <w:i/>
          <w:iCs/>
          <w:sz w:val="22"/>
          <w:szCs w:val="22"/>
          <w:lang w:val="en-PH"/>
        </w:rPr>
        <w:t>The Property and Accounting Units shall undertake collaborative procedures to ensure that all PPEs included in the RPCPPE are duly recorded in their respective records and that the Property Cards (PCs) maintained by the Property Unit and the PPELCs maintained by the Accounting Unit are reconciled.  The reconciliation shall be completed within ten (10) days from rendition of the RPCPPE by the Inventory Committee.</w:t>
      </w:r>
    </w:p>
    <w:p w14:paraId="77FC38A4" w14:textId="77777777" w:rsidR="00EC190C" w:rsidRPr="004A28F1" w:rsidRDefault="00EC190C" w:rsidP="00EC190C">
      <w:pPr>
        <w:pStyle w:val="ListParagraph"/>
        <w:rPr>
          <w:rFonts w:ascii="Arial" w:hAnsi="Arial" w:cs="Arial"/>
          <w:sz w:val="22"/>
          <w:szCs w:val="22"/>
          <w:lang w:val="en-PH"/>
        </w:rPr>
      </w:pPr>
    </w:p>
    <w:p w14:paraId="3D309736" w14:textId="77777777" w:rsidR="00EC190C" w:rsidRPr="004A28F1" w:rsidRDefault="00EC190C" w:rsidP="00E2290C">
      <w:pPr>
        <w:pStyle w:val="ListParagraph"/>
        <w:tabs>
          <w:tab w:val="left" w:pos="0"/>
        </w:tabs>
        <w:spacing w:after="20"/>
        <w:ind w:left="567"/>
        <w:jc w:val="both"/>
        <w:rPr>
          <w:rFonts w:ascii="Arial" w:hAnsi="Arial" w:cs="Arial"/>
          <w:bCs/>
          <w:i/>
          <w:iCs/>
          <w:sz w:val="22"/>
          <w:szCs w:val="22"/>
          <w:lang w:val="en-PH"/>
        </w:rPr>
      </w:pPr>
      <w:r w:rsidRPr="004A28F1">
        <w:rPr>
          <w:rFonts w:ascii="Arial" w:hAnsi="Arial" w:cs="Arial"/>
          <w:bCs/>
          <w:i/>
          <w:iCs/>
          <w:sz w:val="22"/>
          <w:szCs w:val="22"/>
          <w:lang w:val="en-PH"/>
        </w:rPr>
        <w:t>Xxx</w:t>
      </w:r>
    </w:p>
    <w:p w14:paraId="0C25C737" w14:textId="77777777" w:rsidR="00EC190C" w:rsidRPr="004A28F1" w:rsidRDefault="00EC190C" w:rsidP="00EC190C">
      <w:pPr>
        <w:pStyle w:val="ListParagraph"/>
        <w:tabs>
          <w:tab w:val="left" w:pos="0"/>
        </w:tabs>
        <w:spacing w:after="20"/>
        <w:ind w:left="1276"/>
        <w:jc w:val="both"/>
        <w:rPr>
          <w:rFonts w:ascii="Arial" w:hAnsi="Arial" w:cs="Arial"/>
          <w:bCs/>
          <w:i/>
          <w:iCs/>
          <w:sz w:val="22"/>
          <w:szCs w:val="22"/>
          <w:lang w:val="en-PH"/>
        </w:rPr>
      </w:pPr>
    </w:p>
    <w:p w14:paraId="19EEC7A8" w14:textId="410D2008" w:rsidR="00DE0311" w:rsidRPr="004A28F1" w:rsidRDefault="00EC190C" w:rsidP="00E2290C">
      <w:pPr>
        <w:pStyle w:val="ListParagraph"/>
        <w:tabs>
          <w:tab w:val="left" w:pos="0"/>
        </w:tabs>
        <w:spacing w:after="20"/>
        <w:ind w:left="567" w:right="418"/>
        <w:jc w:val="both"/>
        <w:rPr>
          <w:rFonts w:ascii="Arial" w:hAnsi="Arial" w:cs="Arial"/>
          <w:bCs/>
          <w:i/>
          <w:iCs/>
          <w:sz w:val="22"/>
          <w:szCs w:val="22"/>
          <w:lang w:val="en-PH"/>
        </w:rPr>
      </w:pPr>
      <w:r w:rsidRPr="004A28F1">
        <w:rPr>
          <w:rFonts w:ascii="Arial" w:hAnsi="Arial" w:cs="Arial"/>
          <w:bCs/>
          <w:i/>
          <w:iCs/>
          <w:sz w:val="22"/>
          <w:szCs w:val="22"/>
          <w:lang w:val="en-PH"/>
        </w:rPr>
        <w:t>After completing the above reconciliation procedures, the total of the reconciled balances for each PPE account shall be established as the correct balance of PPE of the government agency as of December 31, ___.</w:t>
      </w:r>
    </w:p>
    <w:p w14:paraId="6684A11B" w14:textId="77777777" w:rsidR="00DE0311" w:rsidRPr="004A28F1" w:rsidRDefault="00DE0311" w:rsidP="00E2290C">
      <w:pPr>
        <w:pStyle w:val="ListParagraph"/>
        <w:tabs>
          <w:tab w:val="left" w:pos="0"/>
        </w:tabs>
        <w:spacing w:after="20"/>
        <w:ind w:left="0"/>
        <w:jc w:val="both"/>
        <w:rPr>
          <w:rFonts w:ascii="Arial" w:hAnsi="Arial" w:cs="Arial"/>
          <w:sz w:val="22"/>
          <w:szCs w:val="22"/>
          <w:lang w:val="en-PH"/>
        </w:rPr>
      </w:pPr>
    </w:p>
    <w:p w14:paraId="112BD83C" w14:textId="2AC20333" w:rsidR="00C76F7D" w:rsidRPr="004A28F1" w:rsidRDefault="001E64DE" w:rsidP="0085093C">
      <w:pPr>
        <w:pStyle w:val="ListParagraph"/>
        <w:numPr>
          <w:ilvl w:val="1"/>
          <w:numId w:val="28"/>
        </w:numPr>
        <w:tabs>
          <w:tab w:val="left" w:pos="0"/>
        </w:tabs>
        <w:spacing w:after="20"/>
        <w:ind w:left="0" w:firstLine="0"/>
        <w:jc w:val="both"/>
        <w:rPr>
          <w:rFonts w:ascii="Arial" w:hAnsi="Arial" w:cs="Arial"/>
          <w:sz w:val="22"/>
          <w:szCs w:val="22"/>
          <w:lang w:val="en-PH"/>
        </w:rPr>
      </w:pPr>
      <w:r w:rsidRPr="004A28F1">
        <w:rPr>
          <w:rFonts w:ascii="Arial" w:hAnsi="Arial" w:cs="Arial"/>
          <w:sz w:val="22"/>
          <w:szCs w:val="22"/>
          <w:lang w:val="en-PH"/>
        </w:rPr>
        <w:t>As at December 31, 2022, the</w:t>
      </w:r>
      <w:r w:rsidR="00192BB1" w:rsidRPr="004A28F1">
        <w:rPr>
          <w:rFonts w:ascii="Arial" w:hAnsi="Arial" w:cs="Arial"/>
          <w:sz w:val="22"/>
          <w:szCs w:val="22"/>
          <w:lang w:val="en-PH"/>
        </w:rPr>
        <w:t xml:space="preserve"> </w:t>
      </w:r>
      <w:r w:rsidR="00C76F7D" w:rsidRPr="004A28F1">
        <w:rPr>
          <w:rFonts w:ascii="Arial" w:hAnsi="Arial" w:cs="Arial"/>
          <w:sz w:val="22"/>
          <w:szCs w:val="22"/>
          <w:lang w:val="en-PH"/>
        </w:rPr>
        <w:t xml:space="preserve">Property and Equipment </w:t>
      </w:r>
      <w:r w:rsidR="00192BB1" w:rsidRPr="004A28F1">
        <w:rPr>
          <w:rFonts w:ascii="Arial" w:hAnsi="Arial" w:cs="Arial"/>
          <w:sz w:val="22"/>
          <w:szCs w:val="22"/>
          <w:lang w:val="en-PH"/>
        </w:rPr>
        <w:t xml:space="preserve">account </w:t>
      </w:r>
      <w:r w:rsidRPr="004A28F1">
        <w:rPr>
          <w:rFonts w:ascii="Arial" w:hAnsi="Arial" w:cs="Arial"/>
          <w:sz w:val="22"/>
          <w:szCs w:val="22"/>
          <w:lang w:val="en-PH"/>
        </w:rPr>
        <w:t xml:space="preserve">amounting </w:t>
      </w:r>
      <w:r w:rsidR="003B4D22" w:rsidRPr="004A28F1">
        <w:rPr>
          <w:rFonts w:ascii="Arial" w:hAnsi="Arial" w:cs="Arial"/>
          <w:sz w:val="22"/>
          <w:szCs w:val="22"/>
          <w:lang w:val="en-PH"/>
        </w:rPr>
        <w:t xml:space="preserve">to </w:t>
      </w:r>
      <w:r w:rsidRPr="004A28F1">
        <w:rPr>
          <w:rFonts w:ascii="Arial" w:hAnsi="Arial" w:cs="Arial"/>
          <w:sz w:val="22"/>
          <w:szCs w:val="22"/>
          <w:lang w:val="en-PH"/>
        </w:rPr>
        <w:t>P283.004 million with</w:t>
      </w:r>
      <w:r w:rsidR="00192BB1" w:rsidRPr="004A28F1">
        <w:rPr>
          <w:rFonts w:ascii="Arial" w:hAnsi="Arial" w:cs="Arial"/>
          <w:sz w:val="22"/>
          <w:szCs w:val="22"/>
          <w:lang w:val="en-PH"/>
        </w:rPr>
        <w:t xml:space="preserve"> a</w:t>
      </w:r>
      <w:r w:rsidR="00C76F7D" w:rsidRPr="004A28F1">
        <w:rPr>
          <w:rFonts w:ascii="Arial" w:hAnsi="Arial" w:cs="Arial"/>
          <w:sz w:val="22"/>
          <w:szCs w:val="22"/>
          <w:lang w:val="en-PH"/>
        </w:rPr>
        <w:t xml:space="preserve">ccumulated </w:t>
      </w:r>
      <w:r w:rsidR="00192BB1" w:rsidRPr="004A28F1">
        <w:rPr>
          <w:rFonts w:ascii="Arial" w:hAnsi="Arial" w:cs="Arial"/>
          <w:sz w:val="22"/>
          <w:szCs w:val="22"/>
          <w:lang w:val="en-PH"/>
        </w:rPr>
        <w:t>d</w:t>
      </w:r>
      <w:r w:rsidR="00C76F7D" w:rsidRPr="004A28F1">
        <w:rPr>
          <w:rFonts w:ascii="Arial" w:hAnsi="Arial" w:cs="Arial"/>
          <w:sz w:val="22"/>
          <w:szCs w:val="22"/>
          <w:lang w:val="en-PH"/>
        </w:rPr>
        <w:t xml:space="preserve">epreciation </w:t>
      </w:r>
      <w:r w:rsidR="00192BB1" w:rsidRPr="004A28F1">
        <w:rPr>
          <w:rFonts w:ascii="Arial" w:hAnsi="Arial" w:cs="Arial"/>
          <w:sz w:val="22"/>
          <w:szCs w:val="22"/>
          <w:lang w:val="en-PH"/>
        </w:rPr>
        <w:t>of P128.329 million</w:t>
      </w:r>
      <w:r w:rsidRPr="004A28F1">
        <w:rPr>
          <w:rFonts w:ascii="Arial" w:hAnsi="Arial" w:cs="Arial"/>
          <w:sz w:val="22"/>
          <w:szCs w:val="22"/>
          <w:lang w:val="en-PH"/>
        </w:rPr>
        <w:t xml:space="preserve"> consisting of the following</w:t>
      </w:r>
      <w:r w:rsidR="00C76F7D" w:rsidRPr="004A28F1">
        <w:rPr>
          <w:rFonts w:ascii="Arial" w:hAnsi="Arial" w:cs="Arial"/>
          <w:sz w:val="22"/>
          <w:szCs w:val="22"/>
          <w:lang w:val="en-PH"/>
        </w:rPr>
        <w:t>:</w:t>
      </w:r>
    </w:p>
    <w:p w14:paraId="5A13285F" w14:textId="77777777" w:rsidR="00C76F7D" w:rsidRPr="004A28F1" w:rsidRDefault="00C76F7D" w:rsidP="00C76F7D">
      <w:pPr>
        <w:shd w:val="clear" w:color="auto" w:fill="FFFFFF"/>
        <w:ind w:left="360"/>
        <w:contextualSpacing/>
        <w:jc w:val="both"/>
        <w:rPr>
          <w:rFonts w:ascii="Arial" w:hAnsi="Arial" w:cs="Arial"/>
          <w:sz w:val="22"/>
          <w:szCs w:val="22"/>
          <w:lang w:val="en-PH"/>
        </w:rPr>
      </w:pPr>
    </w:p>
    <w:tbl>
      <w:tblPr>
        <w:tblW w:w="8599" w:type="dxa"/>
        <w:tblInd w:w="90" w:type="dxa"/>
        <w:tblLayout w:type="fixed"/>
        <w:tblLook w:val="04A0" w:firstRow="1" w:lastRow="0" w:firstColumn="1" w:lastColumn="0" w:noHBand="0" w:noVBand="1"/>
      </w:tblPr>
      <w:tblGrid>
        <w:gridCol w:w="1225"/>
        <w:gridCol w:w="1237"/>
        <w:gridCol w:w="1228"/>
        <w:gridCol w:w="1225"/>
        <w:gridCol w:w="1228"/>
        <w:gridCol w:w="1228"/>
        <w:gridCol w:w="1228"/>
      </w:tblGrid>
      <w:tr w:rsidR="004A28F1" w:rsidRPr="004A28F1" w14:paraId="1DA5E0DE" w14:textId="77777777" w:rsidTr="003043F1">
        <w:trPr>
          <w:trHeight w:val="552"/>
        </w:trPr>
        <w:tc>
          <w:tcPr>
            <w:tcW w:w="1225" w:type="dxa"/>
            <w:tcBorders>
              <w:top w:val="single" w:sz="8" w:space="0" w:color="auto"/>
              <w:left w:val="nil"/>
              <w:bottom w:val="single" w:sz="4" w:space="0" w:color="auto"/>
              <w:right w:val="nil"/>
            </w:tcBorders>
            <w:shd w:val="clear" w:color="auto" w:fill="auto"/>
            <w:hideMark/>
          </w:tcPr>
          <w:p w14:paraId="2C00B5A8" w14:textId="77777777" w:rsidR="00C76F7D" w:rsidRPr="004A28F1" w:rsidRDefault="00C76F7D" w:rsidP="00C76F7D">
            <w:pPr>
              <w:contextualSpacing/>
              <w:rPr>
                <w:rFonts w:ascii="Arial" w:hAnsi="Arial" w:cs="Arial"/>
                <w:sz w:val="16"/>
                <w:szCs w:val="16"/>
                <w:lang w:val="en-PH" w:eastAsia="en-PH"/>
              </w:rPr>
            </w:pPr>
            <w:r w:rsidRPr="004A28F1">
              <w:rPr>
                <w:rFonts w:ascii="Arial" w:hAnsi="Arial" w:cs="Arial"/>
                <w:sz w:val="16"/>
                <w:szCs w:val="16"/>
              </w:rPr>
              <w:t> </w:t>
            </w:r>
          </w:p>
        </w:tc>
        <w:tc>
          <w:tcPr>
            <w:tcW w:w="1237" w:type="dxa"/>
            <w:tcBorders>
              <w:top w:val="single" w:sz="8" w:space="0" w:color="auto"/>
              <w:left w:val="nil"/>
              <w:bottom w:val="single" w:sz="4" w:space="0" w:color="auto"/>
              <w:right w:val="nil"/>
            </w:tcBorders>
            <w:shd w:val="clear" w:color="auto" w:fill="auto"/>
            <w:vAlign w:val="center"/>
            <w:hideMark/>
          </w:tcPr>
          <w:p w14:paraId="3245AC26" w14:textId="77777777" w:rsidR="00C76F7D" w:rsidRPr="004A28F1" w:rsidRDefault="00C76F7D" w:rsidP="00C76F7D">
            <w:pPr>
              <w:contextualSpacing/>
              <w:jc w:val="center"/>
              <w:rPr>
                <w:rFonts w:ascii="Arial" w:hAnsi="Arial" w:cs="Arial"/>
                <w:b/>
                <w:bCs/>
                <w:sz w:val="16"/>
                <w:szCs w:val="16"/>
              </w:rPr>
            </w:pPr>
            <w:r w:rsidRPr="004A28F1">
              <w:rPr>
                <w:rFonts w:ascii="Arial" w:hAnsi="Arial" w:cs="Arial"/>
                <w:b/>
                <w:bCs/>
                <w:sz w:val="16"/>
                <w:szCs w:val="16"/>
              </w:rPr>
              <w:t xml:space="preserve"> Land </w:t>
            </w:r>
          </w:p>
        </w:tc>
        <w:tc>
          <w:tcPr>
            <w:tcW w:w="1228" w:type="dxa"/>
            <w:tcBorders>
              <w:top w:val="single" w:sz="8" w:space="0" w:color="auto"/>
              <w:left w:val="nil"/>
              <w:bottom w:val="single" w:sz="4" w:space="0" w:color="auto"/>
              <w:right w:val="nil"/>
            </w:tcBorders>
            <w:shd w:val="clear" w:color="auto" w:fill="auto"/>
            <w:vAlign w:val="center"/>
            <w:hideMark/>
          </w:tcPr>
          <w:p w14:paraId="35E9F789" w14:textId="77777777" w:rsidR="00C76F7D" w:rsidRPr="004A28F1" w:rsidRDefault="00C76F7D" w:rsidP="00C76F7D">
            <w:pPr>
              <w:contextualSpacing/>
              <w:jc w:val="center"/>
              <w:rPr>
                <w:rFonts w:ascii="Arial" w:hAnsi="Arial" w:cs="Arial"/>
                <w:b/>
                <w:bCs/>
                <w:sz w:val="16"/>
                <w:szCs w:val="16"/>
              </w:rPr>
            </w:pPr>
            <w:r w:rsidRPr="004A28F1">
              <w:rPr>
                <w:rFonts w:ascii="Arial" w:hAnsi="Arial" w:cs="Arial"/>
                <w:b/>
                <w:bCs/>
                <w:sz w:val="16"/>
                <w:szCs w:val="16"/>
              </w:rPr>
              <w:t xml:space="preserve"> Building </w:t>
            </w:r>
          </w:p>
        </w:tc>
        <w:tc>
          <w:tcPr>
            <w:tcW w:w="1225" w:type="dxa"/>
            <w:tcBorders>
              <w:top w:val="single" w:sz="8" w:space="0" w:color="auto"/>
              <w:left w:val="nil"/>
              <w:bottom w:val="single" w:sz="4" w:space="0" w:color="auto"/>
              <w:right w:val="nil"/>
            </w:tcBorders>
            <w:shd w:val="clear" w:color="auto" w:fill="auto"/>
            <w:vAlign w:val="center"/>
            <w:hideMark/>
          </w:tcPr>
          <w:p w14:paraId="6BCA126A" w14:textId="77777777" w:rsidR="00C76F7D" w:rsidRPr="004A28F1" w:rsidRDefault="00C76F7D" w:rsidP="00C76F7D">
            <w:pPr>
              <w:contextualSpacing/>
              <w:jc w:val="center"/>
              <w:rPr>
                <w:rFonts w:ascii="Arial" w:hAnsi="Arial" w:cs="Arial"/>
                <w:b/>
                <w:bCs/>
                <w:sz w:val="16"/>
                <w:szCs w:val="16"/>
              </w:rPr>
            </w:pPr>
            <w:r w:rsidRPr="004A28F1">
              <w:rPr>
                <w:rFonts w:ascii="Arial" w:hAnsi="Arial" w:cs="Arial"/>
                <w:b/>
                <w:bCs/>
                <w:sz w:val="16"/>
                <w:szCs w:val="16"/>
              </w:rPr>
              <w:t xml:space="preserve">  Furniture &amp; </w:t>
            </w:r>
          </w:p>
          <w:p w14:paraId="42316FEF" w14:textId="042585D4" w:rsidR="00C76F7D" w:rsidRPr="004A28F1" w:rsidRDefault="00C76F7D" w:rsidP="00C76F7D">
            <w:pPr>
              <w:contextualSpacing/>
              <w:jc w:val="center"/>
              <w:rPr>
                <w:rFonts w:ascii="Arial" w:hAnsi="Arial" w:cs="Arial"/>
                <w:b/>
                <w:bCs/>
                <w:sz w:val="16"/>
                <w:szCs w:val="16"/>
              </w:rPr>
            </w:pPr>
            <w:r w:rsidRPr="004A28F1">
              <w:rPr>
                <w:rFonts w:ascii="Arial" w:hAnsi="Arial" w:cs="Arial"/>
                <w:b/>
                <w:bCs/>
                <w:sz w:val="16"/>
                <w:szCs w:val="16"/>
              </w:rPr>
              <w:t xml:space="preserve"> Fixture</w:t>
            </w:r>
            <w:r w:rsidR="005127F2" w:rsidRPr="004A28F1">
              <w:rPr>
                <w:rFonts w:ascii="Arial" w:hAnsi="Arial" w:cs="Arial"/>
                <w:b/>
                <w:bCs/>
                <w:sz w:val="16"/>
                <w:szCs w:val="16"/>
              </w:rPr>
              <w:t>s</w:t>
            </w:r>
            <w:r w:rsidRPr="004A28F1">
              <w:rPr>
                <w:rFonts w:ascii="Arial" w:hAnsi="Arial" w:cs="Arial"/>
                <w:b/>
                <w:bCs/>
                <w:sz w:val="16"/>
                <w:szCs w:val="16"/>
              </w:rPr>
              <w:t xml:space="preserve"> </w:t>
            </w:r>
          </w:p>
        </w:tc>
        <w:tc>
          <w:tcPr>
            <w:tcW w:w="1228" w:type="dxa"/>
            <w:tcBorders>
              <w:top w:val="single" w:sz="8" w:space="0" w:color="auto"/>
              <w:left w:val="nil"/>
              <w:bottom w:val="single" w:sz="4" w:space="0" w:color="auto"/>
              <w:right w:val="nil"/>
            </w:tcBorders>
            <w:shd w:val="clear" w:color="auto" w:fill="auto"/>
            <w:vAlign w:val="center"/>
            <w:hideMark/>
          </w:tcPr>
          <w:p w14:paraId="7D9FEE60" w14:textId="77777777" w:rsidR="00C76F7D" w:rsidRPr="004A28F1" w:rsidRDefault="00C76F7D" w:rsidP="00C76F7D">
            <w:pPr>
              <w:contextualSpacing/>
              <w:jc w:val="center"/>
              <w:rPr>
                <w:rFonts w:ascii="Arial" w:hAnsi="Arial" w:cs="Arial"/>
                <w:b/>
                <w:bCs/>
                <w:sz w:val="16"/>
                <w:szCs w:val="16"/>
              </w:rPr>
            </w:pPr>
            <w:r w:rsidRPr="004A28F1">
              <w:rPr>
                <w:rFonts w:ascii="Arial" w:hAnsi="Arial" w:cs="Arial"/>
                <w:b/>
                <w:bCs/>
                <w:sz w:val="16"/>
                <w:szCs w:val="16"/>
              </w:rPr>
              <w:t xml:space="preserve">Motor Vehicles </w:t>
            </w:r>
          </w:p>
        </w:tc>
        <w:tc>
          <w:tcPr>
            <w:tcW w:w="1228" w:type="dxa"/>
            <w:tcBorders>
              <w:top w:val="single" w:sz="8" w:space="0" w:color="auto"/>
              <w:left w:val="nil"/>
              <w:bottom w:val="single" w:sz="4" w:space="0" w:color="auto"/>
              <w:right w:val="nil"/>
            </w:tcBorders>
            <w:shd w:val="clear" w:color="auto" w:fill="auto"/>
            <w:vAlign w:val="center"/>
            <w:hideMark/>
          </w:tcPr>
          <w:p w14:paraId="7B88CECF" w14:textId="77777777" w:rsidR="00C76F7D" w:rsidRPr="004A28F1" w:rsidRDefault="00C76F7D" w:rsidP="00C76F7D">
            <w:pPr>
              <w:contextualSpacing/>
              <w:jc w:val="center"/>
              <w:rPr>
                <w:rFonts w:ascii="Arial" w:hAnsi="Arial" w:cs="Arial"/>
                <w:b/>
                <w:bCs/>
                <w:sz w:val="16"/>
                <w:szCs w:val="16"/>
              </w:rPr>
            </w:pPr>
            <w:r w:rsidRPr="004A28F1">
              <w:rPr>
                <w:rFonts w:ascii="Arial" w:hAnsi="Arial" w:cs="Arial"/>
                <w:b/>
                <w:bCs/>
                <w:sz w:val="16"/>
                <w:szCs w:val="16"/>
              </w:rPr>
              <w:t xml:space="preserve">  </w:t>
            </w:r>
            <w:bookmarkStart w:id="3" w:name="_Hlk136024131"/>
            <w:r w:rsidRPr="004A28F1">
              <w:rPr>
                <w:rFonts w:ascii="Arial" w:hAnsi="Arial" w:cs="Arial"/>
                <w:b/>
                <w:bCs/>
                <w:sz w:val="16"/>
                <w:szCs w:val="16"/>
              </w:rPr>
              <w:t xml:space="preserve">Computer </w:t>
            </w:r>
          </w:p>
          <w:p w14:paraId="4A72D7CE" w14:textId="77777777" w:rsidR="00C76F7D" w:rsidRPr="004A28F1" w:rsidRDefault="00C76F7D" w:rsidP="00C76F7D">
            <w:pPr>
              <w:contextualSpacing/>
              <w:jc w:val="center"/>
              <w:rPr>
                <w:rFonts w:ascii="Arial" w:hAnsi="Arial" w:cs="Arial"/>
                <w:b/>
                <w:bCs/>
                <w:sz w:val="16"/>
                <w:szCs w:val="16"/>
              </w:rPr>
            </w:pPr>
            <w:r w:rsidRPr="004A28F1">
              <w:rPr>
                <w:rFonts w:ascii="Arial" w:hAnsi="Arial" w:cs="Arial"/>
                <w:b/>
                <w:bCs/>
                <w:sz w:val="16"/>
                <w:szCs w:val="16"/>
              </w:rPr>
              <w:t xml:space="preserve">&amp; Peripherals </w:t>
            </w:r>
            <w:bookmarkEnd w:id="3"/>
          </w:p>
        </w:tc>
        <w:tc>
          <w:tcPr>
            <w:tcW w:w="1228" w:type="dxa"/>
            <w:tcBorders>
              <w:top w:val="single" w:sz="8" w:space="0" w:color="auto"/>
              <w:left w:val="nil"/>
              <w:bottom w:val="single" w:sz="4" w:space="0" w:color="auto"/>
              <w:right w:val="nil"/>
            </w:tcBorders>
            <w:shd w:val="clear" w:color="auto" w:fill="auto"/>
            <w:vAlign w:val="center"/>
            <w:hideMark/>
          </w:tcPr>
          <w:p w14:paraId="32CDD660" w14:textId="30D82A89" w:rsidR="00C76F7D" w:rsidRPr="004A28F1" w:rsidRDefault="00C76F7D" w:rsidP="00C76F7D">
            <w:pPr>
              <w:contextualSpacing/>
              <w:jc w:val="center"/>
              <w:rPr>
                <w:rFonts w:ascii="Arial" w:hAnsi="Arial" w:cs="Arial"/>
                <w:b/>
                <w:bCs/>
                <w:sz w:val="16"/>
                <w:szCs w:val="16"/>
              </w:rPr>
            </w:pPr>
            <w:r w:rsidRPr="004A28F1">
              <w:rPr>
                <w:rFonts w:ascii="Arial" w:hAnsi="Arial" w:cs="Arial"/>
                <w:b/>
                <w:bCs/>
                <w:sz w:val="16"/>
                <w:szCs w:val="16"/>
              </w:rPr>
              <w:t xml:space="preserve">  Total </w:t>
            </w:r>
          </w:p>
        </w:tc>
      </w:tr>
      <w:tr w:rsidR="004A28F1" w:rsidRPr="004A28F1" w14:paraId="1C654045" w14:textId="77777777" w:rsidTr="003043F1">
        <w:trPr>
          <w:trHeight w:val="201"/>
        </w:trPr>
        <w:tc>
          <w:tcPr>
            <w:tcW w:w="1225" w:type="dxa"/>
            <w:tcBorders>
              <w:top w:val="nil"/>
              <w:left w:val="nil"/>
              <w:bottom w:val="nil"/>
              <w:right w:val="nil"/>
            </w:tcBorders>
            <w:shd w:val="clear" w:color="auto" w:fill="auto"/>
            <w:noWrap/>
            <w:hideMark/>
          </w:tcPr>
          <w:p w14:paraId="7FB05CC4" w14:textId="77777777" w:rsidR="00C76F7D" w:rsidRPr="004A28F1" w:rsidRDefault="00C76F7D" w:rsidP="00C76F7D">
            <w:pPr>
              <w:contextualSpacing/>
              <w:rPr>
                <w:rFonts w:ascii="Arial" w:hAnsi="Arial" w:cs="Arial"/>
                <w:sz w:val="16"/>
                <w:szCs w:val="16"/>
              </w:rPr>
            </w:pPr>
            <w:r w:rsidRPr="004A28F1">
              <w:rPr>
                <w:rFonts w:ascii="Arial" w:hAnsi="Arial" w:cs="Arial"/>
                <w:sz w:val="16"/>
                <w:szCs w:val="16"/>
              </w:rPr>
              <w:t>Cost</w:t>
            </w:r>
          </w:p>
        </w:tc>
        <w:tc>
          <w:tcPr>
            <w:tcW w:w="1237" w:type="dxa"/>
            <w:tcBorders>
              <w:top w:val="nil"/>
              <w:left w:val="nil"/>
              <w:bottom w:val="nil"/>
              <w:right w:val="nil"/>
            </w:tcBorders>
            <w:shd w:val="clear" w:color="auto" w:fill="auto"/>
            <w:noWrap/>
            <w:hideMark/>
          </w:tcPr>
          <w:p w14:paraId="2BE3CD48" w14:textId="2147956F" w:rsidR="00C76F7D" w:rsidRPr="004A28F1" w:rsidRDefault="00C76F7D" w:rsidP="00C76F7D">
            <w:pPr>
              <w:contextualSpacing/>
              <w:jc w:val="right"/>
              <w:rPr>
                <w:rFonts w:ascii="Arial" w:hAnsi="Arial" w:cs="Arial"/>
                <w:sz w:val="16"/>
                <w:szCs w:val="16"/>
              </w:rPr>
            </w:pPr>
            <w:r w:rsidRPr="004A28F1">
              <w:rPr>
                <w:rFonts w:ascii="Arial" w:hAnsi="Arial" w:cs="Arial"/>
                <w:sz w:val="16"/>
                <w:szCs w:val="16"/>
              </w:rPr>
              <w:t xml:space="preserve">  131,008,000 </w:t>
            </w:r>
          </w:p>
        </w:tc>
        <w:tc>
          <w:tcPr>
            <w:tcW w:w="1228" w:type="dxa"/>
            <w:tcBorders>
              <w:top w:val="nil"/>
              <w:left w:val="nil"/>
              <w:bottom w:val="nil"/>
              <w:right w:val="nil"/>
            </w:tcBorders>
            <w:shd w:val="clear" w:color="auto" w:fill="auto"/>
            <w:noWrap/>
            <w:hideMark/>
          </w:tcPr>
          <w:p w14:paraId="5D470338" w14:textId="4A2FC8AB" w:rsidR="00C76F7D" w:rsidRPr="004A28F1" w:rsidRDefault="00C76F7D" w:rsidP="00536E5D">
            <w:pPr>
              <w:contextualSpacing/>
              <w:jc w:val="right"/>
              <w:rPr>
                <w:rFonts w:ascii="Arial" w:hAnsi="Arial" w:cs="Arial"/>
                <w:sz w:val="16"/>
                <w:szCs w:val="16"/>
              </w:rPr>
            </w:pPr>
            <w:r w:rsidRPr="004A28F1">
              <w:rPr>
                <w:rFonts w:ascii="Arial" w:hAnsi="Arial" w:cs="Arial"/>
                <w:sz w:val="16"/>
                <w:szCs w:val="16"/>
              </w:rPr>
              <w:t xml:space="preserve">    48,199,84</w:t>
            </w:r>
            <w:r w:rsidR="00080BC6" w:rsidRPr="004A28F1">
              <w:rPr>
                <w:rFonts w:ascii="Arial" w:hAnsi="Arial" w:cs="Arial"/>
                <w:sz w:val="16"/>
                <w:szCs w:val="16"/>
              </w:rPr>
              <w:t>1</w:t>
            </w:r>
            <w:r w:rsidRPr="004A28F1">
              <w:rPr>
                <w:rFonts w:ascii="Arial" w:hAnsi="Arial" w:cs="Arial"/>
                <w:sz w:val="16"/>
                <w:szCs w:val="16"/>
              </w:rPr>
              <w:t xml:space="preserve"> </w:t>
            </w:r>
          </w:p>
        </w:tc>
        <w:tc>
          <w:tcPr>
            <w:tcW w:w="1225" w:type="dxa"/>
            <w:tcBorders>
              <w:top w:val="nil"/>
              <w:left w:val="nil"/>
              <w:bottom w:val="nil"/>
              <w:right w:val="nil"/>
            </w:tcBorders>
            <w:shd w:val="clear" w:color="auto" w:fill="auto"/>
            <w:noWrap/>
            <w:hideMark/>
          </w:tcPr>
          <w:p w14:paraId="085360CD" w14:textId="2632330C" w:rsidR="00C76F7D" w:rsidRPr="004A28F1" w:rsidRDefault="00C76F7D" w:rsidP="00C76F7D">
            <w:pPr>
              <w:contextualSpacing/>
              <w:jc w:val="right"/>
              <w:rPr>
                <w:rFonts w:ascii="Arial" w:hAnsi="Arial" w:cs="Arial"/>
                <w:sz w:val="16"/>
                <w:szCs w:val="16"/>
              </w:rPr>
            </w:pPr>
            <w:r w:rsidRPr="004A28F1">
              <w:rPr>
                <w:rFonts w:ascii="Arial" w:hAnsi="Arial" w:cs="Arial"/>
                <w:sz w:val="16"/>
                <w:szCs w:val="16"/>
              </w:rPr>
              <w:t xml:space="preserve"> </w:t>
            </w:r>
            <w:r w:rsidR="00760082" w:rsidRPr="004A28F1">
              <w:rPr>
                <w:rFonts w:ascii="Arial" w:hAnsi="Arial" w:cs="Arial"/>
                <w:sz w:val="16"/>
                <w:szCs w:val="16"/>
              </w:rPr>
              <w:t>7,761,85</w:t>
            </w:r>
            <w:r w:rsidR="00080BC6" w:rsidRPr="004A28F1">
              <w:rPr>
                <w:rFonts w:ascii="Arial" w:hAnsi="Arial" w:cs="Arial"/>
                <w:sz w:val="16"/>
                <w:szCs w:val="16"/>
              </w:rPr>
              <w:t>9</w:t>
            </w:r>
          </w:p>
        </w:tc>
        <w:tc>
          <w:tcPr>
            <w:tcW w:w="1228" w:type="dxa"/>
            <w:tcBorders>
              <w:top w:val="nil"/>
              <w:left w:val="nil"/>
              <w:bottom w:val="nil"/>
              <w:right w:val="nil"/>
            </w:tcBorders>
            <w:shd w:val="clear" w:color="auto" w:fill="auto"/>
            <w:noWrap/>
            <w:hideMark/>
          </w:tcPr>
          <w:p w14:paraId="01B549B4" w14:textId="6EDD0E8D" w:rsidR="00C76F7D" w:rsidRPr="004A28F1" w:rsidRDefault="00C76F7D" w:rsidP="00C76F7D">
            <w:pPr>
              <w:contextualSpacing/>
              <w:jc w:val="right"/>
              <w:rPr>
                <w:rFonts w:ascii="Arial" w:hAnsi="Arial" w:cs="Arial"/>
                <w:sz w:val="16"/>
                <w:szCs w:val="16"/>
              </w:rPr>
            </w:pPr>
            <w:r w:rsidRPr="004A28F1">
              <w:rPr>
                <w:rFonts w:ascii="Arial" w:hAnsi="Arial" w:cs="Arial"/>
                <w:sz w:val="16"/>
                <w:szCs w:val="16"/>
              </w:rPr>
              <w:t xml:space="preserve">    </w:t>
            </w:r>
            <w:r w:rsidR="00760082" w:rsidRPr="004A28F1">
              <w:rPr>
                <w:rFonts w:ascii="Arial" w:hAnsi="Arial" w:cs="Arial"/>
                <w:sz w:val="16"/>
                <w:szCs w:val="16"/>
              </w:rPr>
              <w:t>4,298,79</w:t>
            </w:r>
            <w:r w:rsidR="00080BC6" w:rsidRPr="004A28F1">
              <w:rPr>
                <w:rFonts w:ascii="Arial" w:hAnsi="Arial" w:cs="Arial"/>
                <w:sz w:val="16"/>
                <w:szCs w:val="16"/>
              </w:rPr>
              <w:t>8</w:t>
            </w:r>
          </w:p>
        </w:tc>
        <w:tc>
          <w:tcPr>
            <w:tcW w:w="1228" w:type="dxa"/>
            <w:tcBorders>
              <w:top w:val="nil"/>
              <w:left w:val="nil"/>
              <w:bottom w:val="nil"/>
              <w:right w:val="nil"/>
            </w:tcBorders>
            <w:shd w:val="clear" w:color="auto" w:fill="auto"/>
            <w:noWrap/>
            <w:hideMark/>
          </w:tcPr>
          <w:p w14:paraId="22D93ED5" w14:textId="619D3310" w:rsidR="00C76F7D" w:rsidRPr="004A28F1" w:rsidRDefault="00C76F7D" w:rsidP="00C76F7D">
            <w:pPr>
              <w:contextualSpacing/>
              <w:jc w:val="right"/>
              <w:rPr>
                <w:rFonts w:ascii="Arial" w:hAnsi="Arial" w:cs="Arial"/>
                <w:sz w:val="16"/>
                <w:szCs w:val="16"/>
              </w:rPr>
            </w:pPr>
            <w:r w:rsidRPr="004A28F1">
              <w:rPr>
                <w:rFonts w:ascii="Arial" w:hAnsi="Arial" w:cs="Arial"/>
                <w:sz w:val="16"/>
                <w:szCs w:val="16"/>
              </w:rPr>
              <w:t xml:space="preserve">   91,7</w:t>
            </w:r>
            <w:r w:rsidR="00760082" w:rsidRPr="004A28F1">
              <w:rPr>
                <w:rFonts w:ascii="Arial" w:hAnsi="Arial" w:cs="Arial"/>
                <w:sz w:val="16"/>
                <w:szCs w:val="16"/>
              </w:rPr>
              <w:t>35,959</w:t>
            </w:r>
          </w:p>
        </w:tc>
        <w:tc>
          <w:tcPr>
            <w:tcW w:w="1228" w:type="dxa"/>
            <w:tcBorders>
              <w:top w:val="nil"/>
              <w:left w:val="nil"/>
              <w:bottom w:val="nil"/>
              <w:right w:val="nil"/>
            </w:tcBorders>
            <w:shd w:val="clear" w:color="auto" w:fill="auto"/>
            <w:noWrap/>
            <w:hideMark/>
          </w:tcPr>
          <w:p w14:paraId="034C2CF4" w14:textId="31842418" w:rsidR="00C76F7D" w:rsidRPr="004A28F1" w:rsidRDefault="00760082" w:rsidP="007D36ED">
            <w:pPr>
              <w:contextualSpacing/>
              <w:jc w:val="right"/>
              <w:rPr>
                <w:rFonts w:ascii="Arial" w:hAnsi="Arial" w:cs="Arial"/>
                <w:sz w:val="16"/>
                <w:szCs w:val="16"/>
              </w:rPr>
            </w:pPr>
            <w:r w:rsidRPr="004A28F1">
              <w:rPr>
                <w:rFonts w:ascii="Arial" w:hAnsi="Arial" w:cs="Arial"/>
                <w:sz w:val="16"/>
                <w:szCs w:val="16"/>
              </w:rPr>
              <w:t>283,004,45</w:t>
            </w:r>
            <w:r w:rsidR="00080BC6" w:rsidRPr="004A28F1">
              <w:rPr>
                <w:rFonts w:ascii="Arial" w:hAnsi="Arial" w:cs="Arial"/>
                <w:sz w:val="16"/>
                <w:szCs w:val="16"/>
              </w:rPr>
              <w:t>7</w:t>
            </w:r>
            <w:r w:rsidRPr="004A28F1">
              <w:rPr>
                <w:rFonts w:ascii="Arial" w:hAnsi="Arial" w:cs="Arial"/>
                <w:sz w:val="16"/>
                <w:szCs w:val="16"/>
              </w:rPr>
              <w:t xml:space="preserve"> </w:t>
            </w:r>
            <w:r w:rsidR="00C76F7D" w:rsidRPr="004A28F1">
              <w:rPr>
                <w:rFonts w:ascii="Arial" w:hAnsi="Arial" w:cs="Arial"/>
                <w:sz w:val="16"/>
                <w:szCs w:val="16"/>
              </w:rPr>
              <w:t xml:space="preserve"> </w:t>
            </w:r>
          </w:p>
        </w:tc>
      </w:tr>
      <w:tr w:rsidR="004A28F1" w:rsidRPr="004A28F1" w14:paraId="7FA8281D" w14:textId="77777777" w:rsidTr="003043F1">
        <w:trPr>
          <w:trHeight w:val="126"/>
        </w:trPr>
        <w:tc>
          <w:tcPr>
            <w:tcW w:w="1225" w:type="dxa"/>
            <w:tcBorders>
              <w:top w:val="nil"/>
              <w:left w:val="nil"/>
              <w:bottom w:val="single" w:sz="8" w:space="0" w:color="auto"/>
              <w:right w:val="nil"/>
            </w:tcBorders>
            <w:shd w:val="clear" w:color="auto" w:fill="auto"/>
            <w:noWrap/>
            <w:hideMark/>
          </w:tcPr>
          <w:p w14:paraId="735F5050" w14:textId="77777777" w:rsidR="00C76F7D" w:rsidRPr="004A28F1" w:rsidRDefault="00C76F7D" w:rsidP="00C76F7D">
            <w:pPr>
              <w:contextualSpacing/>
              <w:rPr>
                <w:rFonts w:ascii="Arial" w:hAnsi="Arial" w:cs="Arial"/>
                <w:sz w:val="16"/>
                <w:szCs w:val="16"/>
              </w:rPr>
            </w:pPr>
            <w:r w:rsidRPr="004A28F1">
              <w:rPr>
                <w:rFonts w:ascii="Arial" w:hAnsi="Arial" w:cs="Arial"/>
                <w:sz w:val="16"/>
                <w:szCs w:val="16"/>
              </w:rPr>
              <w:t xml:space="preserve">Accumulated Depreciation </w:t>
            </w:r>
          </w:p>
        </w:tc>
        <w:tc>
          <w:tcPr>
            <w:tcW w:w="1237" w:type="dxa"/>
            <w:tcBorders>
              <w:top w:val="nil"/>
              <w:left w:val="nil"/>
              <w:bottom w:val="single" w:sz="8" w:space="0" w:color="auto"/>
              <w:right w:val="nil"/>
            </w:tcBorders>
            <w:shd w:val="clear" w:color="auto" w:fill="auto"/>
            <w:vAlign w:val="bottom"/>
          </w:tcPr>
          <w:p w14:paraId="2A98F537" w14:textId="77777777" w:rsidR="00C76F7D" w:rsidRPr="004A28F1" w:rsidRDefault="00C76F7D" w:rsidP="003043F1">
            <w:pPr>
              <w:contextualSpacing/>
              <w:jc w:val="right"/>
              <w:rPr>
                <w:rFonts w:ascii="Arial" w:hAnsi="Arial" w:cs="Arial"/>
                <w:sz w:val="16"/>
                <w:szCs w:val="16"/>
              </w:rPr>
            </w:pPr>
            <w:r w:rsidRPr="004A28F1">
              <w:rPr>
                <w:rFonts w:ascii="Arial" w:hAnsi="Arial" w:cs="Arial"/>
                <w:sz w:val="16"/>
                <w:szCs w:val="16"/>
              </w:rPr>
              <w:t>0</w:t>
            </w:r>
          </w:p>
        </w:tc>
        <w:tc>
          <w:tcPr>
            <w:tcW w:w="1228" w:type="dxa"/>
            <w:tcBorders>
              <w:top w:val="nil"/>
              <w:left w:val="nil"/>
              <w:bottom w:val="single" w:sz="8" w:space="0" w:color="auto"/>
              <w:right w:val="nil"/>
            </w:tcBorders>
            <w:shd w:val="clear" w:color="auto" w:fill="auto"/>
            <w:noWrap/>
            <w:vAlign w:val="bottom"/>
            <w:hideMark/>
          </w:tcPr>
          <w:p w14:paraId="4904050A" w14:textId="356983B6" w:rsidR="00C76F7D" w:rsidRPr="004A28F1" w:rsidRDefault="00760082" w:rsidP="003043F1">
            <w:pPr>
              <w:contextualSpacing/>
              <w:jc w:val="right"/>
              <w:rPr>
                <w:rFonts w:ascii="Arial" w:hAnsi="Arial" w:cs="Arial"/>
                <w:sz w:val="16"/>
                <w:szCs w:val="16"/>
              </w:rPr>
            </w:pPr>
            <w:r w:rsidRPr="004A28F1">
              <w:rPr>
                <w:rFonts w:ascii="Arial" w:hAnsi="Arial" w:cs="Arial"/>
                <w:sz w:val="16"/>
                <w:szCs w:val="16"/>
              </w:rPr>
              <w:t>26,515,14</w:t>
            </w:r>
            <w:r w:rsidR="003043F1" w:rsidRPr="004A28F1">
              <w:rPr>
                <w:rFonts w:ascii="Arial" w:hAnsi="Arial" w:cs="Arial"/>
                <w:sz w:val="16"/>
                <w:szCs w:val="16"/>
              </w:rPr>
              <w:t>6</w:t>
            </w:r>
          </w:p>
        </w:tc>
        <w:tc>
          <w:tcPr>
            <w:tcW w:w="1225" w:type="dxa"/>
            <w:tcBorders>
              <w:top w:val="nil"/>
              <w:left w:val="nil"/>
              <w:bottom w:val="single" w:sz="8" w:space="0" w:color="auto"/>
              <w:right w:val="nil"/>
            </w:tcBorders>
            <w:shd w:val="clear" w:color="auto" w:fill="auto"/>
            <w:noWrap/>
            <w:vAlign w:val="bottom"/>
            <w:hideMark/>
          </w:tcPr>
          <w:p w14:paraId="3A42241B" w14:textId="2BEEB289" w:rsidR="00C76F7D" w:rsidRPr="004A28F1" w:rsidRDefault="00C76F7D" w:rsidP="003043F1">
            <w:pPr>
              <w:contextualSpacing/>
              <w:jc w:val="right"/>
              <w:rPr>
                <w:rFonts w:ascii="Arial" w:hAnsi="Arial" w:cs="Arial"/>
                <w:sz w:val="16"/>
                <w:szCs w:val="16"/>
              </w:rPr>
            </w:pPr>
            <w:r w:rsidRPr="004A28F1">
              <w:rPr>
                <w:rFonts w:ascii="Arial" w:hAnsi="Arial" w:cs="Arial"/>
                <w:sz w:val="16"/>
                <w:szCs w:val="16"/>
              </w:rPr>
              <w:t xml:space="preserve">    7,344,88</w:t>
            </w:r>
            <w:r w:rsidR="003043F1" w:rsidRPr="004A28F1">
              <w:rPr>
                <w:rFonts w:ascii="Arial" w:hAnsi="Arial" w:cs="Arial"/>
                <w:sz w:val="16"/>
                <w:szCs w:val="16"/>
              </w:rPr>
              <w:t>6</w:t>
            </w:r>
          </w:p>
        </w:tc>
        <w:tc>
          <w:tcPr>
            <w:tcW w:w="1228" w:type="dxa"/>
            <w:tcBorders>
              <w:top w:val="nil"/>
              <w:left w:val="nil"/>
              <w:bottom w:val="single" w:sz="8" w:space="0" w:color="auto"/>
              <w:right w:val="nil"/>
            </w:tcBorders>
            <w:shd w:val="clear" w:color="auto" w:fill="auto"/>
            <w:noWrap/>
            <w:vAlign w:val="bottom"/>
            <w:hideMark/>
          </w:tcPr>
          <w:p w14:paraId="166FE0A0" w14:textId="7F440E4D" w:rsidR="00C76F7D" w:rsidRPr="004A28F1" w:rsidRDefault="00C76F7D" w:rsidP="003043F1">
            <w:pPr>
              <w:contextualSpacing/>
              <w:jc w:val="right"/>
              <w:rPr>
                <w:rFonts w:ascii="Arial" w:hAnsi="Arial" w:cs="Arial"/>
                <w:sz w:val="16"/>
                <w:szCs w:val="16"/>
              </w:rPr>
            </w:pPr>
            <w:r w:rsidRPr="004A28F1">
              <w:rPr>
                <w:rFonts w:ascii="Arial" w:hAnsi="Arial" w:cs="Arial"/>
                <w:sz w:val="16"/>
                <w:szCs w:val="16"/>
              </w:rPr>
              <w:t xml:space="preserve">    </w:t>
            </w:r>
            <w:r w:rsidR="00760082" w:rsidRPr="004A28F1">
              <w:rPr>
                <w:rFonts w:ascii="Arial" w:hAnsi="Arial" w:cs="Arial"/>
                <w:sz w:val="16"/>
                <w:szCs w:val="16"/>
              </w:rPr>
              <w:t>4,134,24</w:t>
            </w:r>
            <w:r w:rsidR="003043F1" w:rsidRPr="004A28F1">
              <w:rPr>
                <w:rFonts w:ascii="Arial" w:hAnsi="Arial" w:cs="Arial"/>
                <w:sz w:val="16"/>
                <w:szCs w:val="16"/>
              </w:rPr>
              <w:t>3</w:t>
            </w:r>
          </w:p>
        </w:tc>
        <w:tc>
          <w:tcPr>
            <w:tcW w:w="1228" w:type="dxa"/>
            <w:tcBorders>
              <w:top w:val="nil"/>
              <w:left w:val="nil"/>
              <w:bottom w:val="single" w:sz="8" w:space="0" w:color="auto"/>
              <w:right w:val="nil"/>
            </w:tcBorders>
            <w:shd w:val="clear" w:color="auto" w:fill="auto"/>
            <w:noWrap/>
            <w:vAlign w:val="bottom"/>
            <w:hideMark/>
          </w:tcPr>
          <w:p w14:paraId="5D09122B" w14:textId="461B98DA" w:rsidR="00C76F7D" w:rsidRPr="004A28F1" w:rsidRDefault="00C76F7D" w:rsidP="003043F1">
            <w:pPr>
              <w:contextualSpacing/>
              <w:jc w:val="right"/>
              <w:rPr>
                <w:rFonts w:ascii="Arial" w:hAnsi="Arial" w:cs="Arial"/>
                <w:sz w:val="16"/>
                <w:szCs w:val="16"/>
              </w:rPr>
            </w:pPr>
            <w:r w:rsidRPr="004A28F1">
              <w:rPr>
                <w:rFonts w:ascii="Arial" w:hAnsi="Arial" w:cs="Arial"/>
                <w:sz w:val="16"/>
                <w:szCs w:val="16"/>
              </w:rPr>
              <w:t xml:space="preserve">   </w:t>
            </w:r>
            <w:r w:rsidR="00760082" w:rsidRPr="004A28F1">
              <w:rPr>
                <w:rFonts w:ascii="Arial" w:hAnsi="Arial" w:cs="Arial"/>
                <w:sz w:val="16"/>
                <w:szCs w:val="16"/>
              </w:rPr>
              <w:t>90,335,434</w:t>
            </w:r>
          </w:p>
        </w:tc>
        <w:tc>
          <w:tcPr>
            <w:tcW w:w="1228" w:type="dxa"/>
            <w:tcBorders>
              <w:top w:val="nil"/>
              <w:left w:val="nil"/>
              <w:bottom w:val="single" w:sz="8" w:space="0" w:color="auto"/>
              <w:right w:val="nil"/>
            </w:tcBorders>
            <w:shd w:val="clear" w:color="auto" w:fill="auto"/>
            <w:noWrap/>
            <w:vAlign w:val="bottom"/>
            <w:hideMark/>
          </w:tcPr>
          <w:p w14:paraId="400AF6BB" w14:textId="70E5ACAF" w:rsidR="00C76F7D" w:rsidRPr="004A28F1" w:rsidRDefault="00C76F7D" w:rsidP="003043F1">
            <w:pPr>
              <w:contextualSpacing/>
              <w:jc w:val="right"/>
              <w:rPr>
                <w:rFonts w:ascii="Arial" w:hAnsi="Arial" w:cs="Arial"/>
                <w:sz w:val="16"/>
                <w:szCs w:val="16"/>
              </w:rPr>
            </w:pPr>
            <w:r w:rsidRPr="004A28F1">
              <w:rPr>
                <w:rFonts w:ascii="Arial" w:hAnsi="Arial" w:cs="Arial"/>
                <w:sz w:val="16"/>
                <w:szCs w:val="16"/>
              </w:rPr>
              <w:t xml:space="preserve">  128,</w:t>
            </w:r>
            <w:r w:rsidR="00760082" w:rsidRPr="004A28F1">
              <w:rPr>
                <w:rFonts w:ascii="Arial" w:hAnsi="Arial" w:cs="Arial"/>
                <w:sz w:val="16"/>
                <w:szCs w:val="16"/>
              </w:rPr>
              <w:t>329,70</w:t>
            </w:r>
            <w:r w:rsidR="003043F1" w:rsidRPr="004A28F1">
              <w:rPr>
                <w:rFonts w:ascii="Arial" w:hAnsi="Arial" w:cs="Arial"/>
                <w:sz w:val="16"/>
                <w:szCs w:val="16"/>
              </w:rPr>
              <w:t>9</w:t>
            </w:r>
            <w:r w:rsidR="00760082" w:rsidRPr="004A28F1">
              <w:rPr>
                <w:rFonts w:ascii="Arial" w:hAnsi="Arial" w:cs="Arial"/>
                <w:sz w:val="16"/>
                <w:szCs w:val="16"/>
              </w:rPr>
              <w:t xml:space="preserve"> </w:t>
            </w:r>
          </w:p>
        </w:tc>
      </w:tr>
      <w:tr w:rsidR="004A28F1" w:rsidRPr="004A28F1" w14:paraId="616A456F" w14:textId="77777777" w:rsidTr="003043F1">
        <w:trPr>
          <w:trHeight w:val="361"/>
        </w:trPr>
        <w:tc>
          <w:tcPr>
            <w:tcW w:w="1225" w:type="dxa"/>
            <w:tcBorders>
              <w:top w:val="single" w:sz="8" w:space="0" w:color="auto"/>
              <w:left w:val="nil"/>
              <w:bottom w:val="double" w:sz="4" w:space="0" w:color="auto"/>
              <w:right w:val="nil"/>
            </w:tcBorders>
            <w:shd w:val="clear" w:color="auto" w:fill="auto"/>
            <w:noWrap/>
            <w:hideMark/>
          </w:tcPr>
          <w:p w14:paraId="7117EBF9" w14:textId="77777777" w:rsidR="00760082" w:rsidRPr="004A28F1" w:rsidRDefault="00760082" w:rsidP="00760082">
            <w:pPr>
              <w:contextualSpacing/>
              <w:rPr>
                <w:rFonts w:ascii="Arial" w:hAnsi="Arial" w:cs="Arial"/>
                <w:b/>
                <w:sz w:val="16"/>
                <w:szCs w:val="16"/>
              </w:rPr>
            </w:pPr>
            <w:r w:rsidRPr="004A28F1">
              <w:rPr>
                <w:rFonts w:ascii="Arial" w:hAnsi="Arial" w:cs="Arial"/>
                <w:b/>
                <w:sz w:val="16"/>
                <w:szCs w:val="16"/>
              </w:rPr>
              <w:t>Carrying Amount</w:t>
            </w:r>
          </w:p>
        </w:tc>
        <w:tc>
          <w:tcPr>
            <w:tcW w:w="1237" w:type="dxa"/>
            <w:tcBorders>
              <w:top w:val="single" w:sz="8" w:space="0" w:color="auto"/>
              <w:left w:val="nil"/>
              <w:bottom w:val="double" w:sz="4" w:space="0" w:color="auto"/>
              <w:right w:val="nil"/>
            </w:tcBorders>
            <w:shd w:val="clear" w:color="auto" w:fill="auto"/>
            <w:noWrap/>
            <w:vAlign w:val="center"/>
            <w:hideMark/>
          </w:tcPr>
          <w:p w14:paraId="3DC4B102" w14:textId="6FE49093" w:rsidR="00760082" w:rsidRPr="004A28F1" w:rsidRDefault="00760082" w:rsidP="00760082">
            <w:pPr>
              <w:contextualSpacing/>
              <w:jc w:val="right"/>
              <w:rPr>
                <w:rFonts w:ascii="Arial" w:hAnsi="Arial" w:cs="Arial"/>
                <w:b/>
                <w:sz w:val="16"/>
                <w:szCs w:val="16"/>
              </w:rPr>
            </w:pPr>
            <w:r w:rsidRPr="004A28F1">
              <w:rPr>
                <w:rFonts w:ascii="Arial" w:hAnsi="Arial" w:cs="Arial"/>
                <w:b/>
                <w:sz w:val="16"/>
                <w:szCs w:val="16"/>
              </w:rPr>
              <w:t xml:space="preserve">  131,008,000</w:t>
            </w:r>
          </w:p>
        </w:tc>
        <w:tc>
          <w:tcPr>
            <w:tcW w:w="1228" w:type="dxa"/>
            <w:tcBorders>
              <w:top w:val="single" w:sz="4" w:space="0" w:color="auto"/>
              <w:bottom w:val="double" w:sz="4" w:space="0" w:color="auto"/>
            </w:tcBorders>
            <w:shd w:val="clear" w:color="auto" w:fill="auto"/>
            <w:noWrap/>
            <w:vAlign w:val="center"/>
          </w:tcPr>
          <w:p w14:paraId="3DC775D0" w14:textId="0952BA26" w:rsidR="00760082" w:rsidRPr="004A28F1" w:rsidRDefault="00760082" w:rsidP="0085093C">
            <w:pPr>
              <w:contextualSpacing/>
              <w:rPr>
                <w:rFonts w:ascii="Arial" w:hAnsi="Arial" w:cs="Arial"/>
                <w:b/>
                <w:sz w:val="16"/>
                <w:szCs w:val="16"/>
              </w:rPr>
            </w:pPr>
            <w:r w:rsidRPr="004A28F1">
              <w:rPr>
                <w:rFonts w:ascii="Arial" w:hAnsi="Arial" w:cs="Arial"/>
                <w:b/>
                <w:sz w:val="16"/>
                <w:szCs w:val="16"/>
              </w:rPr>
              <w:t xml:space="preserve">    21,684,695 </w:t>
            </w:r>
          </w:p>
        </w:tc>
        <w:tc>
          <w:tcPr>
            <w:tcW w:w="1225" w:type="dxa"/>
            <w:tcBorders>
              <w:top w:val="single" w:sz="4" w:space="0" w:color="auto"/>
              <w:bottom w:val="double" w:sz="4" w:space="0" w:color="auto"/>
            </w:tcBorders>
            <w:shd w:val="clear" w:color="auto" w:fill="auto"/>
            <w:noWrap/>
            <w:vAlign w:val="center"/>
          </w:tcPr>
          <w:p w14:paraId="27FF8F78" w14:textId="66A12ABC" w:rsidR="00760082" w:rsidRPr="004A28F1" w:rsidRDefault="00760082" w:rsidP="00760082">
            <w:pPr>
              <w:contextualSpacing/>
              <w:jc w:val="right"/>
              <w:rPr>
                <w:rFonts w:ascii="Arial" w:hAnsi="Arial" w:cs="Arial"/>
                <w:b/>
                <w:sz w:val="16"/>
                <w:szCs w:val="16"/>
              </w:rPr>
            </w:pPr>
            <w:r w:rsidRPr="004A28F1">
              <w:rPr>
                <w:rFonts w:ascii="Arial" w:hAnsi="Arial" w:cs="Arial"/>
                <w:b/>
                <w:sz w:val="16"/>
                <w:szCs w:val="16"/>
              </w:rPr>
              <w:t xml:space="preserve">         416,973 </w:t>
            </w:r>
          </w:p>
        </w:tc>
        <w:tc>
          <w:tcPr>
            <w:tcW w:w="1228" w:type="dxa"/>
            <w:tcBorders>
              <w:top w:val="single" w:sz="4" w:space="0" w:color="auto"/>
              <w:bottom w:val="double" w:sz="4" w:space="0" w:color="auto"/>
            </w:tcBorders>
            <w:shd w:val="clear" w:color="auto" w:fill="auto"/>
            <w:noWrap/>
            <w:vAlign w:val="center"/>
          </w:tcPr>
          <w:p w14:paraId="122FBF72" w14:textId="20131E63" w:rsidR="00760082" w:rsidRPr="004A28F1" w:rsidRDefault="00760082" w:rsidP="00760082">
            <w:pPr>
              <w:contextualSpacing/>
              <w:jc w:val="right"/>
              <w:rPr>
                <w:rFonts w:ascii="Arial" w:hAnsi="Arial" w:cs="Arial"/>
                <w:b/>
                <w:sz w:val="16"/>
                <w:szCs w:val="16"/>
              </w:rPr>
            </w:pPr>
            <w:r w:rsidRPr="004A28F1">
              <w:rPr>
                <w:rFonts w:ascii="Arial" w:hAnsi="Arial" w:cs="Arial"/>
                <w:b/>
                <w:sz w:val="16"/>
                <w:szCs w:val="16"/>
              </w:rPr>
              <w:t xml:space="preserve">         164,555 </w:t>
            </w:r>
          </w:p>
        </w:tc>
        <w:tc>
          <w:tcPr>
            <w:tcW w:w="1228" w:type="dxa"/>
            <w:tcBorders>
              <w:top w:val="single" w:sz="4" w:space="0" w:color="auto"/>
              <w:bottom w:val="double" w:sz="4" w:space="0" w:color="auto"/>
            </w:tcBorders>
            <w:shd w:val="clear" w:color="auto" w:fill="auto"/>
            <w:noWrap/>
            <w:vAlign w:val="center"/>
          </w:tcPr>
          <w:p w14:paraId="4CD02B84" w14:textId="56D8E752" w:rsidR="00760082" w:rsidRPr="004A28F1" w:rsidRDefault="00760082" w:rsidP="00760082">
            <w:pPr>
              <w:contextualSpacing/>
              <w:jc w:val="right"/>
              <w:rPr>
                <w:rFonts w:ascii="Arial" w:hAnsi="Arial" w:cs="Arial"/>
                <w:b/>
                <w:sz w:val="16"/>
                <w:szCs w:val="16"/>
              </w:rPr>
            </w:pPr>
            <w:r w:rsidRPr="004A28F1">
              <w:rPr>
                <w:rFonts w:ascii="Arial" w:hAnsi="Arial" w:cs="Arial"/>
                <w:b/>
                <w:sz w:val="16"/>
                <w:szCs w:val="16"/>
              </w:rPr>
              <w:t xml:space="preserve">      1,400,525 </w:t>
            </w:r>
          </w:p>
        </w:tc>
        <w:tc>
          <w:tcPr>
            <w:tcW w:w="1228" w:type="dxa"/>
            <w:tcBorders>
              <w:top w:val="single" w:sz="4" w:space="0" w:color="auto"/>
              <w:bottom w:val="double" w:sz="4" w:space="0" w:color="auto"/>
            </w:tcBorders>
            <w:shd w:val="clear" w:color="auto" w:fill="auto"/>
            <w:noWrap/>
            <w:vAlign w:val="center"/>
          </w:tcPr>
          <w:p w14:paraId="69223C25" w14:textId="5F7123CD" w:rsidR="00760082" w:rsidRPr="004A28F1" w:rsidRDefault="00760082" w:rsidP="00760082">
            <w:pPr>
              <w:contextualSpacing/>
              <w:jc w:val="right"/>
              <w:rPr>
                <w:rFonts w:ascii="Arial" w:hAnsi="Arial" w:cs="Arial"/>
                <w:b/>
                <w:sz w:val="16"/>
                <w:szCs w:val="16"/>
              </w:rPr>
            </w:pPr>
            <w:r w:rsidRPr="004A28F1">
              <w:rPr>
                <w:rFonts w:ascii="Arial" w:hAnsi="Arial" w:cs="Arial"/>
                <w:b/>
                <w:sz w:val="16"/>
                <w:szCs w:val="16"/>
              </w:rPr>
              <w:t xml:space="preserve">  154,674,748 </w:t>
            </w:r>
          </w:p>
        </w:tc>
      </w:tr>
    </w:tbl>
    <w:p w14:paraId="27CE0FC6" w14:textId="77777777" w:rsidR="0042194E" w:rsidRPr="004A28F1" w:rsidRDefault="0042194E" w:rsidP="00B717EE">
      <w:pPr>
        <w:tabs>
          <w:tab w:val="left" w:pos="0"/>
        </w:tabs>
        <w:spacing w:after="20"/>
        <w:jc w:val="both"/>
        <w:rPr>
          <w:rFonts w:ascii="Arial" w:hAnsi="Arial" w:cs="Arial"/>
          <w:sz w:val="22"/>
          <w:szCs w:val="22"/>
        </w:rPr>
      </w:pPr>
    </w:p>
    <w:p w14:paraId="785CD95A" w14:textId="70019118" w:rsidR="00C76F7D" w:rsidRPr="004A28F1" w:rsidRDefault="00C76F7D" w:rsidP="0085093C">
      <w:pPr>
        <w:pStyle w:val="ListParagraph"/>
        <w:numPr>
          <w:ilvl w:val="1"/>
          <w:numId w:val="28"/>
        </w:numPr>
        <w:tabs>
          <w:tab w:val="left" w:pos="0"/>
        </w:tabs>
        <w:spacing w:after="20"/>
        <w:ind w:left="0" w:firstLine="0"/>
        <w:jc w:val="both"/>
        <w:rPr>
          <w:rFonts w:ascii="Arial" w:hAnsi="Arial" w:cs="Arial"/>
          <w:sz w:val="22"/>
          <w:szCs w:val="22"/>
        </w:rPr>
      </w:pPr>
      <w:r w:rsidRPr="004A28F1">
        <w:rPr>
          <w:rFonts w:ascii="Arial" w:hAnsi="Arial" w:cs="Arial"/>
          <w:sz w:val="22"/>
          <w:szCs w:val="22"/>
        </w:rPr>
        <w:t xml:space="preserve">Review of the </w:t>
      </w:r>
      <w:r w:rsidR="00216F67" w:rsidRPr="004A28F1">
        <w:rPr>
          <w:rFonts w:ascii="Arial" w:hAnsi="Arial" w:cs="Arial"/>
          <w:sz w:val="22"/>
          <w:szCs w:val="22"/>
          <w:lang w:val="en-PH"/>
        </w:rPr>
        <w:t xml:space="preserve">Property and Equipment </w:t>
      </w:r>
      <w:r w:rsidRPr="004A28F1">
        <w:rPr>
          <w:rFonts w:ascii="Arial" w:hAnsi="Arial" w:cs="Arial"/>
          <w:sz w:val="22"/>
          <w:szCs w:val="22"/>
        </w:rPr>
        <w:t>account disclosed the following:</w:t>
      </w:r>
    </w:p>
    <w:p w14:paraId="1D0B5366" w14:textId="77777777" w:rsidR="00C76F7D" w:rsidRPr="004A28F1" w:rsidRDefault="00C76F7D" w:rsidP="0085093C">
      <w:pPr>
        <w:pStyle w:val="ListParagraph"/>
        <w:shd w:val="clear" w:color="auto" w:fill="FFFFFF"/>
        <w:ind w:left="0"/>
        <w:jc w:val="both"/>
        <w:rPr>
          <w:rFonts w:ascii="Arial" w:hAnsi="Arial" w:cs="Arial"/>
          <w:i/>
          <w:sz w:val="22"/>
          <w:szCs w:val="22"/>
          <w:u w:val="single"/>
        </w:rPr>
      </w:pPr>
    </w:p>
    <w:p w14:paraId="568B33B7" w14:textId="361EBA93" w:rsidR="00C76F7D" w:rsidRPr="004A28F1" w:rsidRDefault="00A65B41" w:rsidP="0085093C">
      <w:pPr>
        <w:pStyle w:val="ListParagraph"/>
        <w:numPr>
          <w:ilvl w:val="1"/>
          <w:numId w:val="25"/>
        </w:numPr>
        <w:shd w:val="clear" w:color="auto" w:fill="FFFFFF"/>
        <w:ind w:left="709" w:firstLine="0"/>
        <w:jc w:val="both"/>
        <w:rPr>
          <w:rFonts w:ascii="Arial" w:hAnsi="Arial" w:cs="Arial"/>
          <w:sz w:val="22"/>
          <w:szCs w:val="22"/>
        </w:rPr>
      </w:pPr>
      <w:r w:rsidRPr="004A28F1">
        <w:rPr>
          <w:rFonts w:ascii="Arial" w:hAnsi="Arial" w:cs="Arial"/>
          <w:i/>
          <w:sz w:val="22"/>
          <w:szCs w:val="22"/>
        </w:rPr>
        <w:t xml:space="preserve">Variance </w:t>
      </w:r>
      <w:r w:rsidR="001E64DE" w:rsidRPr="004A28F1">
        <w:rPr>
          <w:rFonts w:ascii="Arial" w:hAnsi="Arial" w:cs="Arial"/>
          <w:i/>
          <w:sz w:val="22"/>
          <w:szCs w:val="22"/>
        </w:rPr>
        <w:t>amounting to P42</w:t>
      </w:r>
      <w:r w:rsidR="00BA29FC" w:rsidRPr="004A28F1">
        <w:rPr>
          <w:rFonts w:ascii="Arial" w:hAnsi="Arial" w:cs="Arial"/>
          <w:i/>
          <w:sz w:val="22"/>
          <w:szCs w:val="22"/>
        </w:rPr>
        <w:t>.</w:t>
      </w:r>
      <w:r w:rsidR="001E64DE" w:rsidRPr="004A28F1">
        <w:rPr>
          <w:rFonts w:ascii="Arial" w:hAnsi="Arial" w:cs="Arial"/>
          <w:i/>
          <w:sz w:val="22"/>
          <w:szCs w:val="22"/>
        </w:rPr>
        <w:t xml:space="preserve">020 million </w:t>
      </w:r>
      <w:r w:rsidR="00D90C43" w:rsidRPr="004A28F1">
        <w:rPr>
          <w:rFonts w:ascii="Arial" w:hAnsi="Arial" w:cs="Arial"/>
          <w:i/>
          <w:sz w:val="22"/>
          <w:szCs w:val="22"/>
        </w:rPr>
        <w:t xml:space="preserve">between the </w:t>
      </w:r>
      <w:r w:rsidR="00056D55" w:rsidRPr="004A28F1">
        <w:rPr>
          <w:rFonts w:ascii="Arial" w:hAnsi="Arial" w:cs="Arial"/>
          <w:i/>
          <w:sz w:val="22"/>
          <w:szCs w:val="22"/>
        </w:rPr>
        <w:t>accounting records</w:t>
      </w:r>
      <w:r w:rsidR="00D90C43" w:rsidRPr="004A28F1">
        <w:rPr>
          <w:rFonts w:ascii="Arial" w:hAnsi="Arial" w:cs="Arial"/>
          <w:i/>
          <w:sz w:val="22"/>
          <w:szCs w:val="22"/>
        </w:rPr>
        <w:t xml:space="preserve"> and the RPCPPE</w:t>
      </w:r>
    </w:p>
    <w:p w14:paraId="3450FCCA" w14:textId="55E67FEE" w:rsidR="00D63173" w:rsidRPr="004A28F1" w:rsidRDefault="00D63173" w:rsidP="00B80432">
      <w:pPr>
        <w:tabs>
          <w:tab w:val="left" w:pos="0"/>
        </w:tabs>
        <w:spacing w:after="20"/>
        <w:jc w:val="both"/>
        <w:rPr>
          <w:rFonts w:ascii="Arial" w:hAnsi="Arial" w:cs="Arial"/>
          <w:bCs/>
          <w:sz w:val="22"/>
          <w:szCs w:val="22"/>
          <w:lang w:val="en-PH"/>
        </w:rPr>
      </w:pPr>
    </w:p>
    <w:p w14:paraId="61AAC4A5" w14:textId="02212B4E" w:rsidR="00D63173" w:rsidRPr="004A28F1" w:rsidRDefault="007D36ED" w:rsidP="00D63173">
      <w:pPr>
        <w:pStyle w:val="ListParagraph"/>
        <w:tabs>
          <w:tab w:val="left" w:pos="0"/>
        </w:tabs>
        <w:spacing w:after="20"/>
        <w:ind w:left="709"/>
        <w:jc w:val="both"/>
        <w:rPr>
          <w:rFonts w:ascii="Arial" w:hAnsi="Arial" w:cs="Arial"/>
          <w:sz w:val="22"/>
          <w:szCs w:val="22"/>
        </w:rPr>
      </w:pPr>
      <w:r w:rsidRPr="004A28F1">
        <w:rPr>
          <w:rFonts w:ascii="Arial" w:hAnsi="Arial" w:cs="Arial"/>
          <w:sz w:val="22"/>
          <w:szCs w:val="22"/>
        </w:rPr>
        <w:t xml:space="preserve">Comparison of </w:t>
      </w:r>
      <w:r w:rsidR="00D63173" w:rsidRPr="004A28F1">
        <w:rPr>
          <w:rFonts w:ascii="Arial" w:hAnsi="Arial" w:cs="Arial"/>
          <w:sz w:val="22"/>
          <w:szCs w:val="22"/>
        </w:rPr>
        <w:t xml:space="preserve">the balances </w:t>
      </w:r>
      <w:r w:rsidR="004B5B22" w:rsidRPr="004A28F1">
        <w:rPr>
          <w:rFonts w:ascii="Arial" w:hAnsi="Arial" w:cs="Arial"/>
          <w:sz w:val="22"/>
          <w:szCs w:val="22"/>
        </w:rPr>
        <w:t xml:space="preserve">of the </w:t>
      </w:r>
      <w:r w:rsidR="00B80432" w:rsidRPr="004A28F1">
        <w:rPr>
          <w:rFonts w:ascii="Arial" w:hAnsi="Arial" w:cs="Arial"/>
          <w:sz w:val="22"/>
          <w:szCs w:val="22"/>
        </w:rPr>
        <w:t xml:space="preserve">RPCPPE and the </w:t>
      </w:r>
      <w:r w:rsidR="00D63173" w:rsidRPr="004A28F1">
        <w:rPr>
          <w:rFonts w:ascii="Arial" w:hAnsi="Arial" w:cs="Arial"/>
          <w:sz w:val="22"/>
          <w:szCs w:val="22"/>
        </w:rPr>
        <w:t>accounting records showed the v</w:t>
      </w:r>
      <w:r w:rsidR="00B80432" w:rsidRPr="004A28F1">
        <w:rPr>
          <w:rFonts w:ascii="Arial" w:hAnsi="Arial" w:cs="Arial"/>
          <w:sz w:val="22"/>
          <w:szCs w:val="22"/>
        </w:rPr>
        <w:t>ariance</w:t>
      </w:r>
      <w:r w:rsidR="00D63173" w:rsidRPr="004A28F1">
        <w:rPr>
          <w:rFonts w:ascii="Arial" w:hAnsi="Arial" w:cs="Arial"/>
          <w:sz w:val="22"/>
          <w:szCs w:val="22"/>
        </w:rPr>
        <w:t xml:space="preserve"> </w:t>
      </w:r>
      <w:r w:rsidR="00B80432" w:rsidRPr="004A28F1">
        <w:rPr>
          <w:rFonts w:ascii="Arial" w:hAnsi="Arial" w:cs="Arial"/>
          <w:sz w:val="22"/>
          <w:szCs w:val="22"/>
        </w:rPr>
        <w:t>amounting to</w:t>
      </w:r>
      <w:r w:rsidR="00D63173" w:rsidRPr="004A28F1">
        <w:rPr>
          <w:rFonts w:ascii="Arial" w:hAnsi="Arial" w:cs="Arial"/>
          <w:sz w:val="22"/>
          <w:szCs w:val="22"/>
        </w:rPr>
        <w:t xml:space="preserve"> P42.020 million:</w:t>
      </w:r>
    </w:p>
    <w:p w14:paraId="6F46DF01" w14:textId="77777777" w:rsidR="00D63173" w:rsidRPr="004A28F1" w:rsidRDefault="00D63173" w:rsidP="00D63173">
      <w:pPr>
        <w:pStyle w:val="ListParagraph"/>
        <w:tabs>
          <w:tab w:val="left" w:pos="0"/>
        </w:tabs>
        <w:spacing w:after="20"/>
        <w:ind w:left="792"/>
        <w:jc w:val="both"/>
        <w:rPr>
          <w:rFonts w:ascii="Arial" w:hAnsi="Arial" w:cs="Arial"/>
          <w:sz w:val="22"/>
          <w:szCs w:val="22"/>
        </w:rPr>
      </w:pPr>
    </w:p>
    <w:tbl>
      <w:tblPr>
        <w:tblW w:w="7898" w:type="dxa"/>
        <w:tblInd w:w="709" w:type="dxa"/>
        <w:tblLayout w:type="fixed"/>
        <w:tblLook w:val="04A0" w:firstRow="1" w:lastRow="0" w:firstColumn="1" w:lastColumn="0" w:noHBand="0" w:noVBand="1"/>
      </w:tblPr>
      <w:tblGrid>
        <w:gridCol w:w="2410"/>
        <w:gridCol w:w="1871"/>
        <w:gridCol w:w="1701"/>
        <w:gridCol w:w="1916"/>
      </w:tblGrid>
      <w:tr w:rsidR="004A28F1" w:rsidRPr="004A28F1" w14:paraId="1A5ECE29" w14:textId="77777777" w:rsidTr="00B80432">
        <w:trPr>
          <w:trHeight w:val="181"/>
        </w:trPr>
        <w:tc>
          <w:tcPr>
            <w:tcW w:w="2410" w:type="dxa"/>
            <w:tcBorders>
              <w:top w:val="single" w:sz="4" w:space="0" w:color="auto"/>
              <w:left w:val="nil"/>
              <w:bottom w:val="single" w:sz="4" w:space="0" w:color="auto"/>
              <w:right w:val="nil"/>
            </w:tcBorders>
            <w:shd w:val="clear" w:color="auto" w:fill="auto"/>
            <w:noWrap/>
            <w:vAlign w:val="bottom"/>
            <w:hideMark/>
          </w:tcPr>
          <w:p w14:paraId="0CE62D3E" w14:textId="730BC440" w:rsidR="00D63173" w:rsidRPr="004A28F1" w:rsidRDefault="00B80432" w:rsidP="00B80432">
            <w:pPr>
              <w:pStyle w:val="NoSpacing"/>
              <w:jc w:val="center"/>
              <w:rPr>
                <w:rFonts w:ascii="Arial" w:hAnsi="Arial" w:cs="Arial"/>
                <w:b/>
                <w:bCs/>
                <w:lang w:val="en-PH" w:eastAsia="en-PH"/>
              </w:rPr>
            </w:pPr>
            <w:r w:rsidRPr="004A28F1">
              <w:rPr>
                <w:rFonts w:ascii="Arial" w:hAnsi="Arial" w:cs="Arial"/>
                <w:b/>
                <w:bCs/>
              </w:rPr>
              <w:t xml:space="preserve">Property and Equipment </w:t>
            </w:r>
            <w:r w:rsidR="00D63173" w:rsidRPr="004A28F1">
              <w:rPr>
                <w:rFonts w:ascii="Arial" w:hAnsi="Arial" w:cs="Arial"/>
                <w:b/>
                <w:bCs/>
              </w:rPr>
              <w:t>Account</w:t>
            </w:r>
          </w:p>
        </w:tc>
        <w:tc>
          <w:tcPr>
            <w:tcW w:w="1871" w:type="dxa"/>
            <w:tcBorders>
              <w:top w:val="single" w:sz="4" w:space="0" w:color="auto"/>
              <w:left w:val="nil"/>
              <w:bottom w:val="single" w:sz="4" w:space="0" w:color="auto"/>
              <w:right w:val="nil"/>
            </w:tcBorders>
            <w:shd w:val="clear" w:color="auto" w:fill="auto"/>
            <w:noWrap/>
            <w:vAlign w:val="bottom"/>
            <w:hideMark/>
          </w:tcPr>
          <w:p w14:paraId="75624B02" w14:textId="28EAC7A8" w:rsidR="00D63173" w:rsidRPr="004A28F1" w:rsidRDefault="00B80432" w:rsidP="00B80432">
            <w:pPr>
              <w:pStyle w:val="NoSpacing"/>
              <w:jc w:val="center"/>
              <w:rPr>
                <w:rFonts w:ascii="Arial" w:hAnsi="Arial" w:cs="Arial"/>
                <w:b/>
                <w:bCs/>
              </w:rPr>
            </w:pPr>
            <w:r w:rsidRPr="004A28F1">
              <w:rPr>
                <w:rFonts w:ascii="Arial" w:hAnsi="Arial" w:cs="Arial"/>
                <w:b/>
                <w:bCs/>
              </w:rPr>
              <w:t>Accounting Records</w:t>
            </w:r>
          </w:p>
        </w:tc>
        <w:tc>
          <w:tcPr>
            <w:tcW w:w="1701" w:type="dxa"/>
            <w:tcBorders>
              <w:top w:val="single" w:sz="4" w:space="0" w:color="auto"/>
              <w:left w:val="nil"/>
              <w:bottom w:val="single" w:sz="4" w:space="0" w:color="auto"/>
              <w:right w:val="nil"/>
            </w:tcBorders>
            <w:shd w:val="clear" w:color="auto" w:fill="auto"/>
            <w:noWrap/>
            <w:vAlign w:val="center"/>
            <w:hideMark/>
          </w:tcPr>
          <w:p w14:paraId="56E4815D" w14:textId="664D0612" w:rsidR="00D63173" w:rsidRPr="004A28F1" w:rsidRDefault="00D63173" w:rsidP="00B80432">
            <w:pPr>
              <w:pStyle w:val="NoSpacing"/>
              <w:jc w:val="center"/>
              <w:rPr>
                <w:rFonts w:ascii="Arial" w:hAnsi="Arial" w:cs="Arial"/>
                <w:b/>
                <w:bCs/>
              </w:rPr>
            </w:pPr>
            <w:r w:rsidRPr="004A28F1">
              <w:rPr>
                <w:rFonts w:ascii="Arial" w:hAnsi="Arial" w:cs="Arial"/>
                <w:b/>
                <w:bCs/>
              </w:rPr>
              <w:t>RPCPPE</w:t>
            </w:r>
          </w:p>
        </w:tc>
        <w:tc>
          <w:tcPr>
            <w:tcW w:w="1916" w:type="dxa"/>
            <w:tcBorders>
              <w:top w:val="single" w:sz="4" w:space="0" w:color="auto"/>
              <w:left w:val="nil"/>
              <w:bottom w:val="single" w:sz="4" w:space="0" w:color="auto"/>
              <w:right w:val="nil"/>
            </w:tcBorders>
            <w:shd w:val="clear" w:color="auto" w:fill="auto"/>
            <w:noWrap/>
            <w:vAlign w:val="center"/>
            <w:hideMark/>
          </w:tcPr>
          <w:p w14:paraId="1743AD5F" w14:textId="7A06775D" w:rsidR="00D63173" w:rsidRPr="004A28F1" w:rsidRDefault="00B80432" w:rsidP="00B80432">
            <w:pPr>
              <w:pStyle w:val="NoSpacing"/>
              <w:jc w:val="center"/>
              <w:rPr>
                <w:rFonts w:ascii="Arial" w:hAnsi="Arial" w:cs="Arial"/>
                <w:b/>
                <w:bCs/>
              </w:rPr>
            </w:pPr>
            <w:r w:rsidRPr="004A28F1">
              <w:rPr>
                <w:rFonts w:ascii="Arial" w:hAnsi="Arial" w:cs="Arial"/>
                <w:b/>
                <w:bCs/>
              </w:rPr>
              <w:t>Variance</w:t>
            </w:r>
          </w:p>
        </w:tc>
      </w:tr>
      <w:tr w:rsidR="004A28F1" w:rsidRPr="004A28F1" w14:paraId="3F3BDBC6" w14:textId="77777777" w:rsidTr="00B80432">
        <w:trPr>
          <w:trHeight w:val="181"/>
        </w:trPr>
        <w:tc>
          <w:tcPr>
            <w:tcW w:w="2410" w:type="dxa"/>
            <w:tcBorders>
              <w:top w:val="single" w:sz="4" w:space="0" w:color="auto"/>
              <w:left w:val="nil"/>
              <w:bottom w:val="nil"/>
              <w:right w:val="nil"/>
            </w:tcBorders>
            <w:shd w:val="clear" w:color="auto" w:fill="auto"/>
            <w:noWrap/>
            <w:vAlign w:val="bottom"/>
            <w:hideMark/>
          </w:tcPr>
          <w:p w14:paraId="4217BAA9" w14:textId="77777777" w:rsidR="00D63173" w:rsidRPr="004A28F1" w:rsidRDefault="00D63173" w:rsidP="000031D6">
            <w:pPr>
              <w:pStyle w:val="NoSpacing"/>
              <w:rPr>
                <w:rFonts w:ascii="Arial" w:hAnsi="Arial" w:cs="Arial"/>
              </w:rPr>
            </w:pPr>
            <w:r w:rsidRPr="004A28F1">
              <w:rPr>
                <w:rFonts w:ascii="Arial" w:hAnsi="Arial" w:cs="Arial"/>
              </w:rPr>
              <w:t>Furniture and Fixtures</w:t>
            </w:r>
          </w:p>
        </w:tc>
        <w:tc>
          <w:tcPr>
            <w:tcW w:w="1871" w:type="dxa"/>
            <w:tcBorders>
              <w:top w:val="single" w:sz="4" w:space="0" w:color="auto"/>
              <w:left w:val="nil"/>
              <w:bottom w:val="nil"/>
              <w:right w:val="nil"/>
            </w:tcBorders>
            <w:shd w:val="clear" w:color="auto" w:fill="auto"/>
            <w:noWrap/>
            <w:vAlign w:val="bottom"/>
            <w:hideMark/>
          </w:tcPr>
          <w:p w14:paraId="2360AEFA" w14:textId="4D870549" w:rsidR="00D63173" w:rsidRPr="004A28F1" w:rsidRDefault="00D63173" w:rsidP="0085093C">
            <w:pPr>
              <w:pStyle w:val="NoSpacing"/>
              <w:jc w:val="right"/>
              <w:rPr>
                <w:rFonts w:ascii="Arial" w:hAnsi="Arial" w:cs="Arial"/>
              </w:rPr>
            </w:pPr>
            <w:r w:rsidRPr="004A28F1">
              <w:rPr>
                <w:rFonts w:ascii="Arial" w:hAnsi="Arial" w:cs="Arial"/>
              </w:rPr>
              <w:t xml:space="preserve">      </w:t>
            </w:r>
            <w:r w:rsidR="00C54E38" w:rsidRPr="004A28F1">
              <w:rPr>
                <w:rFonts w:ascii="Arial" w:hAnsi="Arial" w:cs="Arial"/>
              </w:rPr>
              <w:t>7,761,857.44</w:t>
            </w:r>
          </w:p>
        </w:tc>
        <w:tc>
          <w:tcPr>
            <w:tcW w:w="1701" w:type="dxa"/>
            <w:tcBorders>
              <w:top w:val="single" w:sz="4" w:space="0" w:color="auto"/>
              <w:left w:val="nil"/>
              <w:bottom w:val="nil"/>
              <w:right w:val="nil"/>
            </w:tcBorders>
            <w:shd w:val="clear" w:color="auto" w:fill="auto"/>
            <w:noWrap/>
            <w:vAlign w:val="bottom"/>
            <w:hideMark/>
          </w:tcPr>
          <w:p w14:paraId="4F256E88" w14:textId="77777777" w:rsidR="00D63173" w:rsidRPr="004A28F1" w:rsidRDefault="00D63173" w:rsidP="000031D6">
            <w:pPr>
              <w:pStyle w:val="NoSpacing"/>
              <w:rPr>
                <w:rFonts w:ascii="Arial" w:hAnsi="Arial" w:cs="Arial"/>
              </w:rPr>
            </w:pPr>
            <w:r w:rsidRPr="004A28F1">
              <w:rPr>
                <w:rFonts w:ascii="Arial" w:hAnsi="Arial" w:cs="Arial"/>
              </w:rPr>
              <w:t xml:space="preserve">     7,633,859.44 </w:t>
            </w:r>
          </w:p>
        </w:tc>
        <w:tc>
          <w:tcPr>
            <w:tcW w:w="1916" w:type="dxa"/>
            <w:tcBorders>
              <w:top w:val="single" w:sz="4" w:space="0" w:color="auto"/>
              <w:left w:val="nil"/>
              <w:bottom w:val="nil"/>
              <w:right w:val="nil"/>
            </w:tcBorders>
            <w:shd w:val="clear" w:color="auto" w:fill="auto"/>
            <w:noWrap/>
            <w:vAlign w:val="bottom"/>
            <w:hideMark/>
          </w:tcPr>
          <w:p w14:paraId="6A0E3CB5" w14:textId="422D0F95" w:rsidR="00D63173" w:rsidRPr="004A28F1" w:rsidRDefault="00D63173" w:rsidP="000031D6">
            <w:pPr>
              <w:pStyle w:val="NoSpacing"/>
              <w:jc w:val="right"/>
              <w:rPr>
                <w:rFonts w:ascii="Arial" w:hAnsi="Arial" w:cs="Arial"/>
              </w:rPr>
            </w:pPr>
            <w:r w:rsidRPr="004A28F1">
              <w:rPr>
                <w:rFonts w:ascii="Arial" w:hAnsi="Arial" w:cs="Arial"/>
              </w:rPr>
              <w:t xml:space="preserve">         </w:t>
            </w:r>
            <w:r w:rsidR="00C54E38" w:rsidRPr="004A28F1">
              <w:rPr>
                <w:rFonts w:ascii="Arial" w:hAnsi="Arial" w:cs="Arial"/>
              </w:rPr>
              <w:t>127,998.00</w:t>
            </w:r>
          </w:p>
        </w:tc>
      </w:tr>
      <w:tr w:rsidR="004A28F1" w:rsidRPr="004A28F1" w14:paraId="56A15FEC" w14:textId="77777777" w:rsidTr="0085093C">
        <w:trPr>
          <w:trHeight w:val="181"/>
        </w:trPr>
        <w:tc>
          <w:tcPr>
            <w:tcW w:w="2410" w:type="dxa"/>
            <w:tcBorders>
              <w:top w:val="nil"/>
              <w:left w:val="nil"/>
              <w:bottom w:val="nil"/>
              <w:right w:val="nil"/>
            </w:tcBorders>
            <w:shd w:val="clear" w:color="auto" w:fill="auto"/>
            <w:vAlign w:val="bottom"/>
            <w:hideMark/>
          </w:tcPr>
          <w:p w14:paraId="766B039B" w14:textId="77777777" w:rsidR="00D63173" w:rsidRPr="004A28F1" w:rsidRDefault="00D63173" w:rsidP="000031D6">
            <w:pPr>
              <w:pStyle w:val="NoSpacing"/>
              <w:rPr>
                <w:rFonts w:ascii="Arial" w:hAnsi="Arial" w:cs="Arial"/>
              </w:rPr>
            </w:pPr>
            <w:r w:rsidRPr="004A28F1">
              <w:rPr>
                <w:rFonts w:ascii="Arial" w:hAnsi="Arial" w:cs="Arial"/>
              </w:rPr>
              <w:t xml:space="preserve">Computer &amp; Peripherals </w:t>
            </w:r>
          </w:p>
        </w:tc>
        <w:tc>
          <w:tcPr>
            <w:tcW w:w="1871" w:type="dxa"/>
            <w:tcBorders>
              <w:top w:val="nil"/>
              <w:left w:val="nil"/>
              <w:right w:val="nil"/>
            </w:tcBorders>
            <w:shd w:val="clear" w:color="auto" w:fill="auto"/>
            <w:noWrap/>
            <w:vAlign w:val="bottom"/>
            <w:hideMark/>
          </w:tcPr>
          <w:p w14:paraId="027658DC" w14:textId="77777777" w:rsidR="00D63173" w:rsidRPr="004A28F1" w:rsidRDefault="00D63173" w:rsidP="0085093C">
            <w:pPr>
              <w:pStyle w:val="NoSpacing"/>
              <w:jc w:val="right"/>
              <w:rPr>
                <w:rFonts w:ascii="Arial" w:hAnsi="Arial" w:cs="Arial"/>
              </w:rPr>
            </w:pPr>
            <w:r w:rsidRPr="004A28F1">
              <w:rPr>
                <w:rFonts w:ascii="Arial" w:hAnsi="Arial" w:cs="Arial"/>
              </w:rPr>
              <w:t xml:space="preserve">     91,735,959.00 </w:t>
            </w:r>
          </w:p>
        </w:tc>
        <w:tc>
          <w:tcPr>
            <w:tcW w:w="1701" w:type="dxa"/>
            <w:tcBorders>
              <w:top w:val="nil"/>
              <w:left w:val="nil"/>
              <w:bottom w:val="nil"/>
              <w:right w:val="nil"/>
            </w:tcBorders>
            <w:shd w:val="clear" w:color="auto" w:fill="auto"/>
            <w:noWrap/>
            <w:vAlign w:val="bottom"/>
            <w:hideMark/>
          </w:tcPr>
          <w:p w14:paraId="113B93AA" w14:textId="77777777" w:rsidR="00D63173" w:rsidRPr="004A28F1" w:rsidRDefault="00D63173" w:rsidP="000031D6">
            <w:pPr>
              <w:pStyle w:val="NoSpacing"/>
              <w:rPr>
                <w:rFonts w:ascii="Arial" w:hAnsi="Arial" w:cs="Arial"/>
              </w:rPr>
            </w:pPr>
            <w:r w:rsidRPr="004A28F1">
              <w:rPr>
                <w:rFonts w:ascii="Arial" w:hAnsi="Arial" w:cs="Arial"/>
              </w:rPr>
              <w:t xml:space="preserve">   50,603,676.72 </w:t>
            </w:r>
          </w:p>
        </w:tc>
        <w:tc>
          <w:tcPr>
            <w:tcW w:w="1916" w:type="dxa"/>
            <w:tcBorders>
              <w:top w:val="nil"/>
              <w:left w:val="nil"/>
              <w:right w:val="nil"/>
            </w:tcBorders>
            <w:shd w:val="clear" w:color="auto" w:fill="auto"/>
            <w:noWrap/>
            <w:vAlign w:val="bottom"/>
            <w:hideMark/>
          </w:tcPr>
          <w:p w14:paraId="359CACE3" w14:textId="77777777" w:rsidR="00D63173" w:rsidRPr="004A28F1" w:rsidRDefault="00D63173" w:rsidP="000031D6">
            <w:pPr>
              <w:pStyle w:val="NoSpacing"/>
              <w:jc w:val="right"/>
              <w:rPr>
                <w:rFonts w:ascii="Arial" w:hAnsi="Arial" w:cs="Arial"/>
              </w:rPr>
            </w:pPr>
            <w:r w:rsidRPr="004A28F1">
              <w:rPr>
                <w:rFonts w:ascii="Arial" w:hAnsi="Arial" w:cs="Arial"/>
              </w:rPr>
              <w:t xml:space="preserve">   41,132,282.28 </w:t>
            </w:r>
          </w:p>
        </w:tc>
      </w:tr>
      <w:tr w:rsidR="004A28F1" w:rsidRPr="004A28F1" w14:paraId="74077132" w14:textId="77777777" w:rsidTr="0085093C">
        <w:trPr>
          <w:trHeight w:val="181"/>
        </w:trPr>
        <w:tc>
          <w:tcPr>
            <w:tcW w:w="2410" w:type="dxa"/>
            <w:tcBorders>
              <w:top w:val="nil"/>
              <w:left w:val="nil"/>
              <w:bottom w:val="single" w:sz="4" w:space="0" w:color="auto"/>
              <w:right w:val="nil"/>
            </w:tcBorders>
            <w:shd w:val="clear" w:color="auto" w:fill="auto"/>
            <w:noWrap/>
            <w:vAlign w:val="bottom"/>
            <w:hideMark/>
          </w:tcPr>
          <w:p w14:paraId="07E9CA50" w14:textId="77777777" w:rsidR="00D63173" w:rsidRPr="004A28F1" w:rsidRDefault="00D63173" w:rsidP="000031D6">
            <w:pPr>
              <w:pStyle w:val="NoSpacing"/>
              <w:rPr>
                <w:rFonts w:ascii="Arial" w:hAnsi="Arial" w:cs="Arial"/>
              </w:rPr>
            </w:pPr>
            <w:r w:rsidRPr="004A28F1">
              <w:rPr>
                <w:rFonts w:ascii="Arial" w:hAnsi="Arial" w:cs="Arial"/>
              </w:rPr>
              <w:t>Motor Vehicles</w:t>
            </w:r>
          </w:p>
        </w:tc>
        <w:tc>
          <w:tcPr>
            <w:tcW w:w="1871" w:type="dxa"/>
            <w:tcBorders>
              <w:top w:val="nil"/>
              <w:left w:val="nil"/>
              <w:bottom w:val="single" w:sz="4" w:space="0" w:color="auto"/>
              <w:right w:val="nil"/>
            </w:tcBorders>
            <w:shd w:val="clear" w:color="auto" w:fill="auto"/>
            <w:noWrap/>
            <w:vAlign w:val="bottom"/>
            <w:hideMark/>
          </w:tcPr>
          <w:p w14:paraId="2F030FEB" w14:textId="52825790" w:rsidR="00D63173" w:rsidRPr="004A28F1" w:rsidRDefault="00D63173" w:rsidP="0085093C">
            <w:pPr>
              <w:pStyle w:val="NoSpacing"/>
              <w:jc w:val="right"/>
              <w:rPr>
                <w:rFonts w:ascii="Arial" w:hAnsi="Arial" w:cs="Arial"/>
              </w:rPr>
            </w:pPr>
            <w:r w:rsidRPr="004A28F1">
              <w:rPr>
                <w:rFonts w:ascii="Arial" w:hAnsi="Arial" w:cs="Arial"/>
              </w:rPr>
              <w:t xml:space="preserve">        4,298,797.</w:t>
            </w:r>
            <w:r w:rsidR="00C54E38" w:rsidRPr="004A28F1">
              <w:rPr>
                <w:rFonts w:ascii="Arial" w:hAnsi="Arial" w:cs="Arial"/>
              </w:rPr>
              <w:t>28</w:t>
            </w:r>
          </w:p>
        </w:tc>
        <w:tc>
          <w:tcPr>
            <w:tcW w:w="1701" w:type="dxa"/>
            <w:tcBorders>
              <w:top w:val="nil"/>
              <w:left w:val="nil"/>
              <w:bottom w:val="single" w:sz="4" w:space="0" w:color="auto"/>
              <w:right w:val="nil"/>
            </w:tcBorders>
            <w:shd w:val="clear" w:color="auto" w:fill="auto"/>
            <w:noWrap/>
            <w:vAlign w:val="bottom"/>
            <w:hideMark/>
          </w:tcPr>
          <w:p w14:paraId="23866E55" w14:textId="77777777" w:rsidR="00D63173" w:rsidRPr="004A28F1" w:rsidRDefault="00D63173" w:rsidP="000031D6">
            <w:pPr>
              <w:pStyle w:val="NoSpacing"/>
              <w:rPr>
                <w:rFonts w:ascii="Arial" w:hAnsi="Arial" w:cs="Arial"/>
              </w:rPr>
            </w:pPr>
            <w:r w:rsidRPr="004A28F1">
              <w:rPr>
                <w:rFonts w:ascii="Arial" w:hAnsi="Arial" w:cs="Arial"/>
              </w:rPr>
              <w:t xml:space="preserve">     5,058,397.28 </w:t>
            </w:r>
          </w:p>
        </w:tc>
        <w:tc>
          <w:tcPr>
            <w:tcW w:w="1916" w:type="dxa"/>
            <w:tcBorders>
              <w:top w:val="nil"/>
              <w:left w:val="nil"/>
              <w:bottom w:val="single" w:sz="4" w:space="0" w:color="auto"/>
              <w:right w:val="nil"/>
            </w:tcBorders>
            <w:shd w:val="clear" w:color="auto" w:fill="auto"/>
            <w:noWrap/>
            <w:vAlign w:val="bottom"/>
            <w:hideMark/>
          </w:tcPr>
          <w:p w14:paraId="7743830D" w14:textId="6D66234D" w:rsidR="00D63173" w:rsidRPr="004A28F1" w:rsidRDefault="00D63173" w:rsidP="000031D6">
            <w:pPr>
              <w:pStyle w:val="NoSpacing"/>
              <w:jc w:val="right"/>
              <w:rPr>
                <w:rFonts w:ascii="Arial" w:hAnsi="Arial" w:cs="Arial"/>
              </w:rPr>
            </w:pPr>
            <w:r w:rsidRPr="004A28F1">
              <w:rPr>
                <w:rFonts w:ascii="Arial" w:hAnsi="Arial" w:cs="Arial"/>
              </w:rPr>
              <w:t xml:space="preserve">         759,600.</w:t>
            </w:r>
            <w:r w:rsidR="00C54E38" w:rsidRPr="004A28F1">
              <w:rPr>
                <w:rFonts w:ascii="Arial" w:hAnsi="Arial" w:cs="Arial"/>
              </w:rPr>
              <w:t>00</w:t>
            </w:r>
          </w:p>
        </w:tc>
      </w:tr>
      <w:tr w:rsidR="004A28F1" w:rsidRPr="004A28F1" w14:paraId="73D199EF" w14:textId="77777777" w:rsidTr="0085093C">
        <w:trPr>
          <w:trHeight w:val="181"/>
        </w:trPr>
        <w:tc>
          <w:tcPr>
            <w:tcW w:w="2410" w:type="dxa"/>
            <w:tcBorders>
              <w:top w:val="single" w:sz="4" w:space="0" w:color="auto"/>
              <w:left w:val="nil"/>
              <w:bottom w:val="double" w:sz="4" w:space="0" w:color="auto"/>
              <w:right w:val="nil"/>
            </w:tcBorders>
            <w:shd w:val="clear" w:color="auto" w:fill="auto"/>
            <w:noWrap/>
            <w:vAlign w:val="bottom"/>
            <w:hideMark/>
          </w:tcPr>
          <w:p w14:paraId="5C8E8585" w14:textId="0EAB7038" w:rsidR="00D63173" w:rsidRPr="004A28F1" w:rsidRDefault="00D63173" w:rsidP="000031D6">
            <w:pPr>
              <w:pStyle w:val="NoSpacing"/>
              <w:rPr>
                <w:rFonts w:ascii="Arial" w:hAnsi="Arial" w:cs="Arial"/>
              </w:rPr>
            </w:pPr>
          </w:p>
        </w:tc>
        <w:tc>
          <w:tcPr>
            <w:tcW w:w="1871" w:type="dxa"/>
            <w:tcBorders>
              <w:top w:val="single" w:sz="4" w:space="0" w:color="auto"/>
              <w:left w:val="nil"/>
              <w:bottom w:val="double" w:sz="4" w:space="0" w:color="auto"/>
              <w:right w:val="nil"/>
            </w:tcBorders>
            <w:shd w:val="clear" w:color="auto" w:fill="auto"/>
            <w:noWrap/>
            <w:vAlign w:val="bottom"/>
            <w:hideMark/>
          </w:tcPr>
          <w:p w14:paraId="62A530FB" w14:textId="53E85CC3" w:rsidR="00D63173" w:rsidRPr="004A28F1" w:rsidRDefault="00D63173" w:rsidP="00BD40B1">
            <w:pPr>
              <w:pStyle w:val="NoSpacing"/>
              <w:jc w:val="right"/>
              <w:rPr>
                <w:rFonts w:ascii="Arial" w:hAnsi="Arial" w:cs="Arial"/>
              </w:rPr>
            </w:pPr>
            <w:r w:rsidRPr="004A28F1">
              <w:rPr>
                <w:rFonts w:ascii="Arial" w:hAnsi="Arial" w:cs="Arial"/>
              </w:rPr>
              <w:t xml:space="preserve">  103,796,613.</w:t>
            </w:r>
            <w:r w:rsidR="003525E7" w:rsidRPr="004A28F1">
              <w:rPr>
                <w:rFonts w:ascii="Arial" w:hAnsi="Arial" w:cs="Arial"/>
              </w:rPr>
              <w:t>72</w:t>
            </w:r>
            <w:r w:rsidRPr="004A28F1">
              <w:rPr>
                <w:rFonts w:ascii="Arial" w:hAnsi="Arial" w:cs="Arial"/>
              </w:rPr>
              <w:t xml:space="preserve"> </w:t>
            </w:r>
          </w:p>
        </w:tc>
        <w:tc>
          <w:tcPr>
            <w:tcW w:w="1701" w:type="dxa"/>
            <w:tcBorders>
              <w:top w:val="single" w:sz="4" w:space="0" w:color="auto"/>
              <w:left w:val="nil"/>
              <w:bottom w:val="double" w:sz="4" w:space="0" w:color="auto"/>
              <w:right w:val="nil"/>
            </w:tcBorders>
            <w:shd w:val="clear" w:color="auto" w:fill="auto"/>
            <w:noWrap/>
            <w:vAlign w:val="bottom"/>
            <w:hideMark/>
          </w:tcPr>
          <w:p w14:paraId="7654FC13" w14:textId="77777777" w:rsidR="00D63173" w:rsidRPr="004A28F1" w:rsidRDefault="00D63173" w:rsidP="000031D6">
            <w:pPr>
              <w:pStyle w:val="NoSpacing"/>
              <w:rPr>
                <w:rFonts w:ascii="Arial" w:hAnsi="Arial" w:cs="Arial"/>
              </w:rPr>
            </w:pPr>
            <w:r w:rsidRPr="004A28F1">
              <w:rPr>
                <w:rFonts w:ascii="Arial" w:hAnsi="Arial" w:cs="Arial"/>
              </w:rPr>
              <w:t xml:space="preserve">   63,295,933.44 </w:t>
            </w:r>
          </w:p>
        </w:tc>
        <w:tc>
          <w:tcPr>
            <w:tcW w:w="1916" w:type="dxa"/>
            <w:tcBorders>
              <w:top w:val="single" w:sz="4" w:space="0" w:color="auto"/>
              <w:left w:val="nil"/>
              <w:bottom w:val="double" w:sz="4" w:space="0" w:color="auto"/>
              <w:right w:val="nil"/>
            </w:tcBorders>
            <w:shd w:val="clear" w:color="auto" w:fill="auto"/>
            <w:noWrap/>
            <w:vAlign w:val="bottom"/>
            <w:hideMark/>
          </w:tcPr>
          <w:p w14:paraId="35575E83" w14:textId="55BB98A6" w:rsidR="00D63173" w:rsidRPr="004A28F1" w:rsidRDefault="00D63173" w:rsidP="000031D6">
            <w:pPr>
              <w:pStyle w:val="NoSpacing"/>
              <w:jc w:val="right"/>
              <w:rPr>
                <w:rFonts w:ascii="Arial" w:hAnsi="Arial" w:cs="Arial"/>
              </w:rPr>
            </w:pPr>
            <w:r w:rsidRPr="004A28F1">
              <w:rPr>
                <w:rFonts w:ascii="Arial" w:hAnsi="Arial" w:cs="Arial"/>
              </w:rPr>
              <w:t xml:space="preserve">   42,019,880.</w:t>
            </w:r>
            <w:r w:rsidR="00C54E38" w:rsidRPr="004A28F1">
              <w:rPr>
                <w:rFonts w:ascii="Arial" w:hAnsi="Arial" w:cs="Arial"/>
              </w:rPr>
              <w:t>28</w:t>
            </w:r>
            <w:r w:rsidRPr="004A28F1">
              <w:rPr>
                <w:rFonts w:ascii="Arial" w:hAnsi="Arial" w:cs="Arial"/>
              </w:rPr>
              <w:t xml:space="preserve"> </w:t>
            </w:r>
          </w:p>
        </w:tc>
      </w:tr>
    </w:tbl>
    <w:p w14:paraId="4B0B5791" w14:textId="0218D7EB" w:rsidR="00D63173" w:rsidRPr="004A28F1" w:rsidRDefault="00D63173" w:rsidP="00D63173">
      <w:pPr>
        <w:pStyle w:val="ListParagraph"/>
        <w:tabs>
          <w:tab w:val="left" w:pos="0"/>
        </w:tabs>
        <w:spacing w:after="20"/>
        <w:jc w:val="both"/>
        <w:rPr>
          <w:rFonts w:ascii="Arial" w:hAnsi="Arial" w:cs="Arial"/>
          <w:sz w:val="22"/>
          <w:szCs w:val="22"/>
        </w:rPr>
      </w:pPr>
    </w:p>
    <w:p w14:paraId="19847A23" w14:textId="163DAB10" w:rsidR="004B5B22" w:rsidRPr="004A28F1" w:rsidRDefault="00B80432" w:rsidP="004B5B22">
      <w:pPr>
        <w:pStyle w:val="ListParagraph"/>
        <w:tabs>
          <w:tab w:val="left" w:pos="0"/>
        </w:tabs>
        <w:spacing w:after="20"/>
        <w:jc w:val="both"/>
        <w:rPr>
          <w:rFonts w:ascii="Arial" w:hAnsi="Arial" w:cs="Arial"/>
          <w:sz w:val="22"/>
          <w:szCs w:val="22"/>
        </w:rPr>
      </w:pPr>
      <w:r w:rsidRPr="004A28F1">
        <w:rPr>
          <w:rFonts w:ascii="Arial" w:hAnsi="Arial" w:cs="Arial"/>
          <w:sz w:val="22"/>
          <w:szCs w:val="22"/>
        </w:rPr>
        <w:t>Verification disclosed</w:t>
      </w:r>
      <w:r w:rsidR="008E786B" w:rsidRPr="004A28F1">
        <w:rPr>
          <w:rFonts w:ascii="Arial" w:hAnsi="Arial" w:cs="Arial"/>
          <w:sz w:val="22"/>
          <w:szCs w:val="22"/>
        </w:rPr>
        <w:t xml:space="preserve"> </w:t>
      </w:r>
      <w:r w:rsidR="004B5B22" w:rsidRPr="004A28F1">
        <w:rPr>
          <w:rFonts w:ascii="Arial" w:hAnsi="Arial" w:cs="Arial"/>
          <w:sz w:val="22"/>
          <w:szCs w:val="22"/>
        </w:rPr>
        <w:t>that t</w:t>
      </w:r>
      <w:r w:rsidR="00D63173" w:rsidRPr="004A28F1">
        <w:rPr>
          <w:rFonts w:ascii="Arial" w:hAnsi="Arial" w:cs="Arial"/>
          <w:sz w:val="22"/>
          <w:szCs w:val="22"/>
        </w:rPr>
        <w:t xml:space="preserve">he </w:t>
      </w:r>
      <w:r w:rsidRPr="004A28F1">
        <w:rPr>
          <w:rFonts w:ascii="Arial" w:hAnsi="Arial" w:cs="Arial"/>
          <w:sz w:val="22"/>
          <w:szCs w:val="22"/>
        </w:rPr>
        <w:t>variance</w:t>
      </w:r>
      <w:r w:rsidR="00D63173" w:rsidRPr="004A28F1">
        <w:rPr>
          <w:rFonts w:ascii="Arial" w:hAnsi="Arial" w:cs="Arial"/>
          <w:sz w:val="22"/>
          <w:szCs w:val="22"/>
        </w:rPr>
        <w:t xml:space="preserve"> </w:t>
      </w:r>
      <w:r w:rsidR="00BD40B1" w:rsidRPr="004A28F1">
        <w:rPr>
          <w:rFonts w:ascii="Arial" w:hAnsi="Arial" w:cs="Arial"/>
          <w:sz w:val="22"/>
          <w:szCs w:val="22"/>
        </w:rPr>
        <w:t>pertains to the following</w:t>
      </w:r>
      <w:r w:rsidR="008E786B" w:rsidRPr="004A28F1">
        <w:rPr>
          <w:rFonts w:ascii="Arial" w:hAnsi="Arial" w:cs="Arial"/>
          <w:sz w:val="22"/>
          <w:szCs w:val="22"/>
        </w:rPr>
        <w:t>:</w:t>
      </w:r>
    </w:p>
    <w:p w14:paraId="79FC420D" w14:textId="77777777" w:rsidR="004B5B22" w:rsidRPr="004A28F1" w:rsidRDefault="004B5B22" w:rsidP="00D63173">
      <w:pPr>
        <w:pStyle w:val="ListParagraph"/>
        <w:tabs>
          <w:tab w:val="left" w:pos="0"/>
        </w:tabs>
        <w:spacing w:after="20"/>
        <w:jc w:val="both"/>
        <w:rPr>
          <w:rFonts w:ascii="Arial" w:hAnsi="Arial" w:cs="Arial"/>
          <w:sz w:val="22"/>
          <w:szCs w:val="22"/>
        </w:rPr>
      </w:pPr>
    </w:p>
    <w:tbl>
      <w:tblPr>
        <w:tblStyle w:val="TableGrid"/>
        <w:tblW w:w="789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9"/>
        <w:gridCol w:w="1560"/>
        <w:gridCol w:w="1623"/>
        <w:gridCol w:w="1462"/>
      </w:tblGrid>
      <w:tr w:rsidR="004A28F1" w:rsidRPr="004A28F1" w14:paraId="3A079B03" w14:textId="77777777" w:rsidTr="003043F1">
        <w:trPr>
          <w:trHeight w:val="296"/>
          <w:tblHeader/>
        </w:trPr>
        <w:tc>
          <w:tcPr>
            <w:tcW w:w="3249" w:type="dxa"/>
            <w:tcBorders>
              <w:top w:val="single" w:sz="4" w:space="0" w:color="auto"/>
              <w:bottom w:val="single" w:sz="4" w:space="0" w:color="auto"/>
            </w:tcBorders>
            <w:vAlign w:val="center"/>
          </w:tcPr>
          <w:p w14:paraId="65325049" w14:textId="518342FC" w:rsidR="00592DA8" w:rsidRPr="004A28F1" w:rsidRDefault="00592DA8" w:rsidP="00BD40B1">
            <w:pPr>
              <w:pStyle w:val="ListParagraph"/>
              <w:tabs>
                <w:tab w:val="left" w:pos="0"/>
              </w:tabs>
              <w:spacing w:after="20"/>
              <w:ind w:left="0"/>
              <w:jc w:val="center"/>
              <w:rPr>
                <w:rFonts w:ascii="Arial" w:hAnsi="Arial" w:cs="Arial"/>
                <w:b/>
                <w:bCs/>
                <w:sz w:val="20"/>
                <w:szCs w:val="20"/>
              </w:rPr>
            </w:pPr>
            <w:r w:rsidRPr="004A28F1">
              <w:rPr>
                <w:rFonts w:ascii="Arial" w:hAnsi="Arial" w:cs="Arial"/>
                <w:b/>
                <w:bCs/>
                <w:sz w:val="20"/>
                <w:szCs w:val="20"/>
              </w:rPr>
              <w:t>Items</w:t>
            </w:r>
          </w:p>
        </w:tc>
        <w:tc>
          <w:tcPr>
            <w:tcW w:w="1560" w:type="dxa"/>
            <w:tcBorders>
              <w:top w:val="single" w:sz="4" w:space="0" w:color="auto"/>
              <w:bottom w:val="single" w:sz="4" w:space="0" w:color="auto"/>
            </w:tcBorders>
            <w:vAlign w:val="bottom"/>
          </w:tcPr>
          <w:p w14:paraId="563EE586" w14:textId="3DC62923" w:rsidR="00592DA8" w:rsidRPr="004A28F1" w:rsidRDefault="00592DA8" w:rsidP="0085093C">
            <w:pPr>
              <w:pStyle w:val="ListParagraph"/>
              <w:tabs>
                <w:tab w:val="left" w:pos="0"/>
              </w:tabs>
              <w:spacing w:after="20"/>
              <w:ind w:left="0"/>
              <w:jc w:val="center"/>
              <w:rPr>
                <w:rFonts w:ascii="Arial" w:hAnsi="Arial" w:cs="Arial"/>
                <w:b/>
                <w:bCs/>
                <w:sz w:val="20"/>
                <w:szCs w:val="20"/>
              </w:rPr>
            </w:pPr>
            <w:r w:rsidRPr="004A28F1">
              <w:rPr>
                <w:rFonts w:ascii="Arial" w:hAnsi="Arial" w:cs="Arial"/>
                <w:b/>
                <w:bCs/>
                <w:sz w:val="20"/>
                <w:szCs w:val="20"/>
              </w:rPr>
              <w:t>Furniture and Fixtures</w:t>
            </w:r>
          </w:p>
        </w:tc>
        <w:tc>
          <w:tcPr>
            <w:tcW w:w="1623" w:type="dxa"/>
            <w:tcBorders>
              <w:top w:val="single" w:sz="4" w:space="0" w:color="auto"/>
              <w:bottom w:val="single" w:sz="4" w:space="0" w:color="auto"/>
            </w:tcBorders>
          </w:tcPr>
          <w:p w14:paraId="45F819D3" w14:textId="0FE6A828" w:rsidR="00592DA8" w:rsidRPr="004A28F1" w:rsidRDefault="00592DA8" w:rsidP="0085093C">
            <w:pPr>
              <w:pStyle w:val="ListParagraph"/>
              <w:tabs>
                <w:tab w:val="left" w:pos="0"/>
              </w:tabs>
              <w:spacing w:after="20"/>
              <w:ind w:left="0"/>
              <w:jc w:val="center"/>
              <w:rPr>
                <w:rFonts w:ascii="Arial" w:hAnsi="Arial" w:cs="Arial"/>
                <w:b/>
                <w:bCs/>
                <w:sz w:val="20"/>
                <w:szCs w:val="20"/>
              </w:rPr>
            </w:pPr>
            <w:r w:rsidRPr="004A28F1">
              <w:rPr>
                <w:rFonts w:ascii="Arial" w:hAnsi="Arial" w:cs="Arial"/>
                <w:b/>
                <w:bCs/>
                <w:sz w:val="20"/>
                <w:szCs w:val="20"/>
              </w:rPr>
              <w:t>Computer &amp; Peripherals</w:t>
            </w:r>
          </w:p>
        </w:tc>
        <w:tc>
          <w:tcPr>
            <w:tcW w:w="1462" w:type="dxa"/>
            <w:tcBorders>
              <w:top w:val="single" w:sz="4" w:space="0" w:color="auto"/>
              <w:bottom w:val="single" w:sz="4" w:space="0" w:color="auto"/>
            </w:tcBorders>
          </w:tcPr>
          <w:p w14:paraId="5A038CD1" w14:textId="3AA03E3C" w:rsidR="00592DA8" w:rsidRPr="004A28F1" w:rsidRDefault="00592DA8" w:rsidP="0085093C">
            <w:pPr>
              <w:pStyle w:val="ListParagraph"/>
              <w:tabs>
                <w:tab w:val="left" w:pos="0"/>
              </w:tabs>
              <w:spacing w:after="20"/>
              <w:ind w:left="0"/>
              <w:jc w:val="center"/>
              <w:rPr>
                <w:rFonts w:ascii="Arial" w:hAnsi="Arial" w:cs="Arial"/>
                <w:b/>
                <w:bCs/>
                <w:sz w:val="20"/>
                <w:szCs w:val="20"/>
              </w:rPr>
            </w:pPr>
            <w:r w:rsidRPr="004A28F1">
              <w:rPr>
                <w:rFonts w:ascii="Arial" w:hAnsi="Arial" w:cs="Arial"/>
                <w:b/>
                <w:bCs/>
                <w:sz w:val="20"/>
                <w:szCs w:val="20"/>
              </w:rPr>
              <w:t>Motor Vehicles</w:t>
            </w:r>
          </w:p>
        </w:tc>
      </w:tr>
      <w:tr w:rsidR="004A28F1" w:rsidRPr="004A28F1" w14:paraId="30FBC23F" w14:textId="77777777" w:rsidTr="003043F1">
        <w:tc>
          <w:tcPr>
            <w:tcW w:w="3249" w:type="dxa"/>
            <w:tcBorders>
              <w:top w:val="single" w:sz="4" w:space="0" w:color="auto"/>
            </w:tcBorders>
          </w:tcPr>
          <w:p w14:paraId="47F49D3C" w14:textId="143B89FF" w:rsidR="00592DA8" w:rsidRPr="004A28F1" w:rsidRDefault="00592DA8" w:rsidP="003043F1">
            <w:pPr>
              <w:pStyle w:val="ListParagraph"/>
              <w:numPr>
                <w:ilvl w:val="0"/>
                <w:numId w:val="38"/>
              </w:numPr>
              <w:tabs>
                <w:tab w:val="left" w:pos="0"/>
              </w:tabs>
              <w:spacing w:after="20"/>
              <w:ind w:left="305" w:hanging="305"/>
              <w:rPr>
                <w:rFonts w:ascii="Arial" w:hAnsi="Arial" w:cs="Arial"/>
                <w:sz w:val="20"/>
                <w:szCs w:val="20"/>
              </w:rPr>
            </w:pPr>
            <w:r w:rsidRPr="004A28F1">
              <w:rPr>
                <w:rFonts w:ascii="Arial" w:hAnsi="Arial" w:cs="Arial"/>
                <w:sz w:val="20"/>
                <w:szCs w:val="20"/>
              </w:rPr>
              <w:t>Items included in RPCPPE but not included in the accounting records</w:t>
            </w:r>
          </w:p>
        </w:tc>
        <w:tc>
          <w:tcPr>
            <w:tcW w:w="1560" w:type="dxa"/>
            <w:tcBorders>
              <w:top w:val="single" w:sz="4" w:space="0" w:color="auto"/>
            </w:tcBorders>
          </w:tcPr>
          <w:p w14:paraId="0E40F23F" w14:textId="2574B2E1" w:rsidR="00592DA8" w:rsidRPr="004A28F1" w:rsidRDefault="00592DA8" w:rsidP="0085093C">
            <w:pPr>
              <w:pStyle w:val="ListParagraph"/>
              <w:tabs>
                <w:tab w:val="left" w:pos="0"/>
              </w:tabs>
              <w:spacing w:after="20"/>
              <w:ind w:left="0"/>
              <w:jc w:val="right"/>
              <w:rPr>
                <w:rFonts w:ascii="Arial" w:hAnsi="Arial" w:cs="Arial"/>
                <w:sz w:val="20"/>
                <w:szCs w:val="20"/>
              </w:rPr>
            </w:pPr>
            <w:r w:rsidRPr="004A28F1">
              <w:rPr>
                <w:rFonts w:ascii="Arial" w:hAnsi="Arial" w:cs="Arial"/>
                <w:sz w:val="20"/>
                <w:szCs w:val="20"/>
              </w:rPr>
              <w:t xml:space="preserve"> 788,000.00</w:t>
            </w:r>
          </w:p>
        </w:tc>
        <w:tc>
          <w:tcPr>
            <w:tcW w:w="1623" w:type="dxa"/>
            <w:tcBorders>
              <w:top w:val="single" w:sz="4" w:space="0" w:color="auto"/>
            </w:tcBorders>
          </w:tcPr>
          <w:p w14:paraId="6C9A207E" w14:textId="0C97F358" w:rsidR="00592DA8" w:rsidRPr="004A28F1" w:rsidRDefault="00592DA8" w:rsidP="0085093C">
            <w:pPr>
              <w:pStyle w:val="ListParagraph"/>
              <w:tabs>
                <w:tab w:val="left" w:pos="0"/>
              </w:tabs>
              <w:spacing w:after="20"/>
              <w:ind w:left="0"/>
              <w:jc w:val="right"/>
              <w:rPr>
                <w:rFonts w:ascii="Arial" w:hAnsi="Arial" w:cs="Arial"/>
                <w:sz w:val="20"/>
                <w:szCs w:val="20"/>
              </w:rPr>
            </w:pPr>
            <w:r w:rsidRPr="004A28F1">
              <w:rPr>
                <w:rFonts w:ascii="Arial" w:hAnsi="Arial" w:cs="Arial"/>
                <w:sz w:val="20"/>
                <w:szCs w:val="20"/>
              </w:rPr>
              <w:t>43,786,649.69</w:t>
            </w:r>
          </w:p>
        </w:tc>
        <w:tc>
          <w:tcPr>
            <w:tcW w:w="1462" w:type="dxa"/>
            <w:tcBorders>
              <w:top w:val="single" w:sz="4" w:space="0" w:color="auto"/>
            </w:tcBorders>
          </w:tcPr>
          <w:p w14:paraId="6FDD7828" w14:textId="493FB81E" w:rsidR="00592DA8" w:rsidRPr="004A28F1" w:rsidRDefault="00592DA8" w:rsidP="0085093C">
            <w:pPr>
              <w:pStyle w:val="ListParagraph"/>
              <w:tabs>
                <w:tab w:val="left" w:pos="0"/>
              </w:tabs>
              <w:spacing w:after="20"/>
              <w:ind w:left="0"/>
              <w:jc w:val="right"/>
              <w:rPr>
                <w:rFonts w:ascii="Arial" w:hAnsi="Arial" w:cs="Arial"/>
                <w:sz w:val="20"/>
                <w:szCs w:val="20"/>
              </w:rPr>
            </w:pPr>
            <w:r w:rsidRPr="004A28F1">
              <w:rPr>
                <w:rFonts w:ascii="Arial" w:hAnsi="Arial" w:cs="Arial"/>
                <w:sz w:val="20"/>
                <w:szCs w:val="20"/>
              </w:rPr>
              <w:t>100,400.00</w:t>
            </w:r>
          </w:p>
        </w:tc>
      </w:tr>
      <w:tr w:rsidR="004A28F1" w:rsidRPr="004A28F1" w14:paraId="225F854A" w14:textId="77777777" w:rsidTr="003043F1">
        <w:tc>
          <w:tcPr>
            <w:tcW w:w="3249" w:type="dxa"/>
            <w:tcBorders>
              <w:bottom w:val="single" w:sz="4" w:space="0" w:color="auto"/>
            </w:tcBorders>
            <w:vAlign w:val="bottom"/>
          </w:tcPr>
          <w:p w14:paraId="3C0FEACB" w14:textId="043900DC" w:rsidR="00592DA8" w:rsidRPr="004A28F1" w:rsidRDefault="00592DA8" w:rsidP="00E2290C">
            <w:pPr>
              <w:pStyle w:val="ListParagraph"/>
              <w:numPr>
                <w:ilvl w:val="0"/>
                <w:numId w:val="38"/>
              </w:numPr>
              <w:tabs>
                <w:tab w:val="left" w:pos="305"/>
              </w:tabs>
              <w:spacing w:after="20"/>
              <w:ind w:left="305" w:hanging="305"/>
              <w:rPr>
                <w:rFonts w:ascii="Arial" w:hAnsi="Arial" w:cs="Arial"/>
                <w:sz w:val="20"/>
                <w:szCs w:val="20"/>
              </w:rPr>
            </w:pPr>
            <w:r w:rsidRPr="004A28F1">
              <w:rPr>
                <w:rFonts w:ascii="Arial" w:hAnsi="Arial" w:cs="Arial"/>
                <w:sz w:val="20"/>
                <w:szCs w:val="20"/>
              </w:rPr>
              <w:t xml:space="preserve">Differences in cost/value of </w:t>
            </w:r>
            <w:r w:rsidRPr="004A28F1">
              <w:rPr>
                <w:rFonts w:ascii="Arial" w:hAnsi="Arial" w:cs="Arial"/>
                <w:sz w:val="20"/>
                <w:szCs w:val="20"/>
              </w:rPr>
              <w:lastRenderedPageBreak/>
              <w:t xml:space="preserve">items between the RPCPPE and accounting records </w:t>
            </w:r>
          </w:p>
        </w:tc>
        <w:tc>
          <w:tcPr>
            <w:tcW w:w="1560" w:type="dxa"/>
            <w:tcBorders>
              <w:bottom w:val="single" w:sz="4" w:space="0" w:color="auto"/>
            </w:tcBorders>
          </w:tcPr>
          <w:p w14:paraId="49AF365A" w14:textId="7CCAE368" w:rsidR="00592DA8" w:rsidRPr="004A28F1" w:rsidRDefault="00592DA8" w:rsidP="0085093C">
            <w:pPr>
              <w:pStyle w:val="ListParagraph"/>
              <w:tabs>
                <w:tab w:val="left" w:pos="0"/>
              </w:tabs>
              <w:spacing w:after="20"/>
              <w:ind w:left="0"/>
              <w:jc w:val="right"/>
              <w:rPr>
                <w:rFonts w:ascii="Arial" w:hAnsi="Arial" w:cs="Arial"/>
                <w:sz w:val="20"/>
                <w:szCs w:val="20"/>
              </w:rPr>
            </w:pPr>
            <w:r w:rsidRPr="004A28F1">
              <w:rPr>
                <w:rFonts w:ascii="Arial" w:hAnsi="Arial" w:cs="Arial"/>
                <w:sz w:val="20"/>
                <w:szCs w:val="20"/>
              </w:rPr>
              <w:lastRenderedPageBreak/>
              <w:t>660,002.00</w:t>
            </w:r>
          </w:p>
        </w:tc>
        <w:tc>
          <w:tcPr>
            <w:tcW w:w="1623" w:type="dxa"/>
            <w:tcBorders>
              <w:bottom w:val="single" w:sz="4" w:space="0" w:color="auto"/>
            </w:tcBorders>
          </w:tcPr>
          <w:p w14:paraId="61C4F4E8" w14:textId="563C9549" w:rsidR="00592DA8" w:rsidRPr="004A28F1" w:rsidRDefault="00592DA8" w:rsidP="0085093C">
            <w:pPr>
              <w:pStyle w:val="ListParagraph"/>
              <w:tabs>
                <w:tab w:val="left" w:pos="0"/>
              </w:tabs>
              <w:spacing w:after="20"/>
              <w:ind w:left="0"/>
              <w:jc w:val="right"/>
              <w:rPr>
                <w:rFonts w:ascii="Arial" w:hAnsi="Arial" w:cs="Arial"/>
                <w:sz w:val="20"/>
                <w:szCs w:val="20"/>
              </w:rPr>
            </w:pPr>
            <w:r w:rsidRPr="004A28F1">
              <w:rPr>
                <w:rFonts w:ascii="Arial" w:hAnsi="Arial" w:cs="Arial"/>
                <w:sz w:val="20"/>
                <w:szCs w:val="20"/>
              </w:rPr>
              <w:t>2,654,367.41</w:t>
            </w:r>
          </w:p>
        </w:tc>
        <w:tc>
          <w:tcPr>
            <w:tcW w:w="1462" w:type="dxa"/>
            <w:tcBorders>
              <w:bottom w:val="single" w:sz="4" w:space="0" w:color="auto"/>
            </w:tcBorders>
          </w:tcPr>
          <w:p w14:paraId="5BF45CCB" w14:textId="6AC96D7C" w:rsidR="00592DA8" w:rsidRPr="004A28F1" w:rsidRDefault="00592DA8" w:rsidP="0085093C">
            <w:pPr>
              <w:pStyle w:val="ListParagraph"/>
              <w:tabs>
                <w:tab w:val="left" w:pos="0"/>
              </w:tabs>
              <w:spacing w:after="20"/>
              <w:ind w:left="0"/>
              <w:jc w:val="right"/>
              <w:rPr>
                <w:rFonts w:ascii="Arial" w:hAnsi="Arial" w:cs="Arial"/>
                <w:sz w:val="20"/>
                <w:szCs w:val="20"/>
              </w:rPr>
            </w:pPr>
            <w:r w:rsidRPr="004A28F1">
              <w:rPr>
                <w:rFonts w:ascii="Arial" w:hAnsi="Arial" w:cs="Arial"/>
                <w:sz w:val="20"/>
                <w:szCs w:val="20"/>
              </w:rPr>
              <w:t>860,000.00</w:t>
            </w:r>
          </w:p>
        </w:tc>
      </w:tr>
      <w:tr w:rsidR="004A28F1" w:rsidRPr="004A28F1" w14:paraId="0BA69ACE" w14:textId="77777777" w:rsidTr="003043F1">
        <w:tc>
          <w:tcPr>
            <w:tcW w:w="3249" w:type="dxa"/>
            <w:tcBorders>
              <w:top w:val="single" w:sz="4" w:space="0" w:color="auto"/>
              <w:bottom w:val="single" w:sz="4" w:space="0" w:color="auto"/>
            </w:tcBorders>
          </w:tcPr>
          <w:p w14:paraId="7F474663" w14:textId="4B29B75B" w:rsidR="00592DA8" w:rsidRPr="004A28F1" w:rsidRDefault="00592DA8" w:rsidP="004B5B22">
            <w:pPr>
              <w:pStyle w:val="ListParagraph"/>
              <w:tabs>
                <w:tab w:val="left" w:pos="0"/>
              </w:tabs>
              <w:spacing w:after="20"/>
              <w:ind w:left="0"/>
              <w:jc w:val="both"/>
              <w:rPr>
                <w:rFonts w:ascii="Arial" w:hAnsi="Arial" w:cs="Arial"/>
                <w:sz w:val="20"/>
                <w:szCs w:val="20"/>
              </w:rPr>
            </w:pPr>
            <w:r w:rsidRPr="004A28F1">
              <w:rPr>
                <w:rFonts w:ascii="Arial" w:hAnsi="Arial" w:cs="Arial"/>
                <w:sz w:val="20"/>
                <w:szCs w:val="20"/>
              </w:rPr>
              <w:t>Total Variance</w:t>
            </w:r>
          </w:p>
        </w:tc>
        <w:tc>
          <w:tcPr>
            <w:tcW w:w="1560" w:type="dxa"/>
            <w:tcBorders>
              <w:top w:val="single" w:sz="4" w:space="0" w:color="auto"/>
              <w:bottom w:val="single" w:sz="4" w:space="0" w:color="auto"/>
            </w:tcBorders>
          </w:tcPr>
          <w:p w14:paraId="6C64425E" w14:textId="08FF1D4F" w:rsidR="00592DA8" w:rsidRPr="004A28F1" w:rsidRDefault="00592DA8" w:rsidP="0085093C">
            <w:pPr>
              <w:pStyle w:val="ListParagraph"/>
              <w:tabs>
                <w:tab w:val="left" w:pos="0"/>
              </w:tabs>
              <w:spacing w:after="20"/>
              <w:ind w:left="0"/>
              <w:jc w:val="right"/>
              <w:rPr>
                <w:rFonts w:ascii="Arial" w:hAnsi="Arial" w:cs="Arial"/>
                <w:sz w:val="20"/>
                <w:szCs w:val="20"/>
                <w:highlight w:val="yellow"/>
              </w:rPr>
            </w:pPr>
            <w:r w:rsidRPr="004A28F1">
              <w:rPr>
                <w:rFonts w:ascii="Arial" w:hAnsi="Arial" w:cs="Arial"/>
                <w:sz w:val="20"/>
                <w:szCs w:val="20"/>
              </w:rPr>
              <w:t xml:space="preserve"> 127,998.00</w:t>
            </w:r>
          </w:p>
        </w:tc>
        <w:tc>
          <w:tcPr>
            <w:tcW w:w="1623" w:type="dxa"/>
            <w:tcBorders>
              <w:top w:val="single" w:sz="4" w:space="0" w:color="auto"/>
              <w:bottom w:val="single" w:sz="4" w:space="0" w:color="auto"/>
            </w:tcBorders>
          </w:tcPr>
          <w:p w14:paraId="5D52FA78" w14:textId="07F5CD8E" w:rsidR="00592DA8" w:rsidRPr="004A28F1" w:rsidRDefault="00592DA8" w:rsidP="0085093C">
            <w:pPr>
              <w:pStyle w:val="ListParagraph"/>
              <w:tabs>
                <w:tab w:val="left" w:pos="0"/>
              </w:tabs>
              <w:spacing w:after="20"/>
              <w:ind w:left="0"/>
              <w:jc w:val="right"/>
              <w:rPr>
                <w:rFonts w:ascii="Arial" w:hAnsi="Arial" w:cs="Arial"/>
                <w:sz w:val="20"/>
                <w:szCs w:val="20"/>
                <w:highlight w:val="yellow"/>
              </w:rPr>
            </w:pPr>
            <w:r w:rsidRPr="004A28F1">
              <w:rPr>
                <w:rFonts w:ascii="Arial" w:hAnsi="Arial" w:cs="Arial"/>
                <w:sz w:val="20"/>
                <w:szCs w:val="20"/>
              </w:rPr>
              <w:t>41,132,282.28</w:t>
            </w:r>
          </w:p>
        </w:tc>
        <w:tc>
          <w:tcPr>
            <w:tcW w:w="1462" w:type="dxa"/>
            <w:tcBorders>
              <w:top w:val="single" w:sz="4" w:space="0" w:color="auto"/>
              <w:bottom w:val="single" w:sz="4" w:space="0" w:color="auto"/>
            </w:tcBorders>
          </w:tcPr>
          <w:p w14:paraId="535FC434" w14:textId="6E7A0E4F" w:rsidR="00592DA8" w:rsidRPr="004A28F1" w:rsidRDefault="00592DA8" w:rsidP="0085093C">
            <w:pPr>
              <w:pStyle w:val="ListParagraph"/>
              <w:tabs>
                <w:tab w:val="left" w:pos="0"/>
              </w:tabs>
              <w:spacing w:after="20"/>
              <w:ind w:left="0"/>
              <w:jc w:val="right"/>
              <w:rPr>
                <w:rFonts w:ascii="Arial" w:hAnsi="Arial" w:cs="Arial"/>
                <w:sz w:val="20"/>
                <w:szCs w:val="20"/>
              </w:rPr>
            </w:pPr>
            <w:r w:rsidRPr="004A28F1">
              <w:rPr>
                <w:rFonts w:ascii="Arial" w:hAnsi="Arial" w:cs="Arial"/>
                <w:sz w:val="20"/>
                <w:szCs w:val="20"/>
              </w:rPr>
              <w:t>759,600.00</w:t>
            </w:r>
          </w:p>
        </w:tc>
      </w:tr>
    </w:tbl>
    <w:p w14:paraId="517A3FEB" w14:textId="77777777" w:rsidR="00D63173" w:rsidRPr="004A28F1" w:rsidRDefault="00D63173" w:rsidP="0085093C">
      <w:pPr>
        <w:tabs>
          <w:tab w:val="left" w:pos="0"/>
        </w:tabs>
        <w:spacing w:after="20"/>
        <w:jc w:val="both"/>
        <w:rPr>
          <w:rFonts w:ascii="Arial" w:hAnsi="Arial" w:cs="Arial"/>
          <w:sz w:val="22"/>
          <w:szCs w:val="22"/>
        </w:rPr>
      </w:pPr>
    </w:p>
    <w:p w14:paraId="62701F6B" w14:textId="59117CA5" w:rsidR="009A7EA2" w:rsidRPr="004A28F1" w:rsidRDefault="007F7748" w:rsidP="0085093C">
      <w:pPr>
        <w:pStyle w:val="ListParagraph"/>
        <w:tabs>
          <w:tab w:val="left" w:pos="0"/>
        </w:tabs>
        <w:spacing w:after="20"/>
        <w:ind w:left="709"/>
        <w:jc w:val="both"/>
        <w:rPr>
          <w:rFonts w:ascii="Arial" w:hAnsi="Arial" w:cs="Arial"/>
          <w:bCs/>
          <w:sz w:val="22"/>
          <w:szCs w:val="22"/>
          <w:lang w:val="en-PH"/>
        </w:rPr>
      </w:pPr>
      <w:r w:rsidRPr="004A28F1">
        <w:rPr>
          <w:rFonts w:ascii="Arial" w:hAnsi="Arial" w:cs="Arial"/>
          <w:sz w:val="22"/>
          <w:szCs w:val="22"/>
        </w:rPr>
        <w:t>The current Admin</w:t>
      </w:r>
      <w:r w:rsidR="00056D55" w:rsidRPr="004A28F1">
        <w:rPr>
          <w:rFonts w:ascii="Arial" w:hAnsi="Arial" w:cs="Arial"/>
          <w:sz w:val="22"/>
          <w:szCs w:val="22"/>
        </w:rPr>
        <w:t>istrative</w:t>
      </w:r>
      <w:r w:rsidRPr="004A28F1">
        <w:rPr>
          <w:rFonts w:ascii="Arial" w:hAnsi="Arial" w:cs="Arial"/>
          <w:sz w:val="22"/>
          <w:szCs w:val="22"/>
        </w:rPr>
        <w:t xml:space="preserve"> Head and Bank Officer – </w:t>
      </w:r>
      <w:r w:rsidR="00AF14D4" w:rsidRPr="004A28F1">
        <w:rPr>
          <w:rFonts w:ascii="Arial" w:hAnsi="Arial" w:cs="Arial"/>
          <w:sz w:val="22"/>
          <w:szCs w:val="22"/>
        </w:rPr>
        <w:t xml:space="preserve">Financial Management Unit </w:t>
      </w:r>
      <w:r w:rsidR="00BD40B1" w:rsidRPr="004A28F1">
        <w:rPr>
          <w:rFonts w:ascii="Arial" w:hAnsi="Arial" w:cs="Arial"/>
          <w:sz w:val="22"/>
          <w:szCs w:val="22"/>
        </w:rPr>
        <w:t xml:space="preserve">explained </w:t>
      </w:r>
      <w:r w:rsidRPr="004A28F1">
        <w:rPr>
          <w:rFonts w:ascii="Arial" w:hAnsi="Arial" w:cs="Arial"/>
          <w:sz w:val="22"/>
          <w:szCs w:val="22"/>
        </w:rPr>
        <w:t xml:space="preserve">that the </w:t>
      </w:r>
      <w:r w:rsidR="00056D55" w:rsidRPr="004A28F1">
        <w:rPr>
          <w:rFonts w:ascii="Arial" w:hAnsi="Arial" w:cs="Arial"/>
          <w:sz w:val="22"/>
          <w:szCs w:val="22"/>
        </w:rPr>
        <w:t xml:space="preserve">LBP seconded personnel </w:t>
      </w:r>
      <w:r w:rsidRPr="004A28F1">
        <w:rPr>
          <w:rFonts w:ascii="Arial" w:hAnsi="Arial" w:cs="Arial"/>
          <w:sz w:val="22"/>
          <w:szCs w:val="22"/>
        </w:rPr>
        <w:t>previous</w:t>
      </w:r>
      <w:r w:rsidR="00056D55" w:rsidRPr="004A28F1">
        <w:rPr>
          <w:rFonts w:ascii="Arial" w:hAnsi="Arial" w:cs="Arial"/>
          <w:sz w:val="22"/>
          <w:szCs w:val="22"/>
        </w:rPr>
        <w:t>ly</w:t>
      </w:r>
      <w:r w:rsidRPr="004A28F1">
        <w:rPr>
          <w:rFonts w:ascii="Arial" w:hAnsi="Arial" w:cs="Arial"/>
          <w:sz w:val="22"/>
          <w:szCs w:val="22"/>
        </w:rPr>
        <w:t xml:space="preserve"> </w:t>
      </w:r>
      <w:r w:rsidR="00056D55" w:rsidRPr="004A28F1">
        <w:rPr>
          <w:rFonts w:ascii="Arial" w:hAnsi="Arial" w:cs="Arial"/>
          <w:sz w:val="22"/>
          <w:szCs w:val="22"/>
        </w:rPr>
        <w:t xml:space="preserve">assigned as </w:t>
      </w:r>
      <w:r w:rsidRPr="004A28F1">
        <w:rPr>
          <w:rFonts w:ascii="Arial" w:hAnsi="Arial" w:cs="Arial"/>
          <w:sz w:val="22"/>
          <w:szCs w:val="22"/>
        </w:rPr>
        <w:t>Admin</w:t>
      </w:r>
      <w:r w:rsidR="00056D55" w:rsidRPr="004A28F1">
        <w:rPr>
          <w:rFonts w:ascii="Arial" w:hAnsi="Arial" w:cs="Arial"/>
          <w:sz w:val="22"/>
          <w:szCs w:val="22"/>
        </w:rPr>
        <w:t>istrative</w:t>
      </w:r>
      <w:r w:rsidRPr="004A28F1">
        <w:rPr>
          <w:rFonts w:ascii="Arial" w:hAnsi="Arial" w:cs="Arial"/>
          <w:sz w:val="22"/>
          <w:szCs w:val="22"/>
        </w:rPr>
        <w:t xml:space="preserve"> Head </w:t>
      </w:r>
      <w:r w:rsidR="001E64DE" w:rsidRPr="004A28F1">
        <w:rPr>
          <w:rFonts w:ascii="Arial" w:hAnsi="Arial" w:cs="Arial"/>
          <w:sz w:val="22"/>
          <w:szCs w:val="22"/>
        </w:rPr>
        <w:t>and</w:t>
      </w:r>
      <w:r w:rsidR="009A7EA2" w:rsidRPr="004A28F1">
        <w:rPr>
          <w:rFonts w:ascii="Arial" w:hAnsi="Arial" w:cs="Arial"/>
          <w:sz w:val="22"/>
          <w:szCs w:val="22"/>
        </w:rPr>
        <w:t xml:space="preserve"> </w:t>
      </w:r>
      <w:r w:rsidR="00BD40B1" w:rsidRPr="004A28F1">
        <w:rPr>
          <w:rFonts w:ascii="Arial" w:hAnsi="Arial" w:cs="Arial"/>
          <w:sz w:val="22"/>
          <w:szCs w:val="22"/>
        </w:rPr>
        <w:t>returned</w:t>
      </w:r>
      <w:r w:rsidRPr="004A28F1">
        <w:rPr>
          <w:rFonts w:ascii="Arial" w:hAnsi="Arial" w:cs="Arial"/>
          <w:sz w:val="22"/>
          <w:szCs w:val="22"/>
        </w:rPr>
        <w:t xml:space="preserve"> </w:t>
      </w:r>
      <w:r w:rsidR="00BD40B1" w:rsidRPr="004A28F1">
        <w:rPr>
          <w:rFonts w:ascii="Arial" w:hAnsi="Arial" w:cs="Arial"/>
          <w:sz w:val="22"/>
          <w:szCs w:val="22"/>
        </w:rPr>
        <w:t>t</w:t>
      </w:r>
      <w:r w:rsidRPr="004A28F1">
        <w:rPr>
          <w:rFonts w:ascii="Arial" w:hAnsi="Arial" w:cs="Arial"/>
          <w:sz w:val="22"/>
          <w:szCs w:val="22"/>
        </w:rPr>
        <w:t xml:space="preserve">o LBP on February 16, 2023, </w:t>
      </w:r>
      <w:r w:rsidR="003B4D22" w:rsidRPr="004A28F1">
        <w:rPr>
          <w:rFonts w:ascii="Arial" w:hAnsi="Arial" w:cs="Arial"/>
          <w:sz w:val="22"/>
          <w:szCs w:val="22"/>
        </w:rPr>
        <w:t xml:space="preserve">had </w:t>
      </w:r>
      <w:r w:rsidRPr="004A28F1">
        <w:rPr>
          <w:rFonts w:ascii="Arial" w:hAnsi="Arial" w:cs="Arial"/>
          <w:sz w:val="22"/>
          <w:szCs w:val="22"/>
        </w:rPr>
        <w:t xml:space="preserve">conducted </w:t>
      </w:r>
      <w:r w:rsidR="00BD40B1" w:rsidRPr="004A28F1">
        <w:rPr>
          <w:rFonts w:ascii="Arial" w:hAnsi="Arial" w:cs="Arial"/>
          <w:sz w:val="22"/>
          <w:szCs w:val="22"/>
        </w:rPr>
        <w:t>the physical inventory on</w:t>
      </w:r>
      <w:r w:rsidR="00056D55" w:rsidRPr="004A28F1">
        <w:rPr>
          <w:rFonts w:ascii="Arial" w:hAnsi="Arial" w:cs="Arial"/>
          <w:sz w:val="22"/>
          <w:szCs w:val="22"/>
        </w:rPr>
        <w:t xml:space="preserve"> January 2023 </w:t>
      </w:r>
      <w:r w:rsidR="009A7EA2" w:rsidRPr="004A28F1">
        <w:rPr>
          <w:rFonts w:ascii="Arial" w:hAnsi="Arial" w:cs="Arial"/>
          <w:sz w:val="22"/>
          <w:szCs w:val="22"/>
        </w:rPr>
        <w:t xml:space="preserve">and prepared the </w:t>
      </w:r>
      <w:r w:rsidR="009A7EA2" w:rsidRPr="004A28F1">
        <w:rPr>
          <w:rFonts w:ascii="Arial" w:hAnsi="Arial" w:cs="Arial"/>
          <w:bCs/>
          <w:sz w:val="22"/>
          <w:szCs w:val="22"/>
          <w:lang w:val="en-PH"/>
        </w:rPr>
        <w:t>RPCPPE</w:t>
      </w:r>
      <w:r w:rsidR="00D63173" w:rsidRPr="004A28F1">
        <w:rPr>
          <w:rFonts w:ascii="Arial" w:hAnsi="Arial" w:cs="Arial"/>
          <w:bCs/>
          <w:sz w:val="22"/>
          <w:szCs w:val="22"/>
          <w:lang w:val="en-PH"/>
        </w:rPr>
        <w:t>.</w:t>
      </w:r>
      <w:r w:rsidR="009A7EA2" w:rsidRPr="004A28F1">
        <w:rPr>
          <w:rFonts w:ascii="Arial" w:hAnsi="Arial" w:cs="Arial"/>
          <w:sz w:val="22"/>
          <w:szCs w:val="22"/>
        </w:rPr>
        <w:t xml:space="preserve"> </w:t>
      </w:r>
      <w:r w:rsidR="00C345CC" w:rsidRPr="004A28F1">
        <w:rPr>
          <w:rFonts w:ascii="Arial" w:hAnsi="Arial" w:cs="Arial"/>
          <w:sz w:val="22"/>
          <w:szCs w:val="22"/>
        </w:rPr>
        <w:t xml:space="preserve">The </w:t>
      </w:r>
      <w:r w:rsidR="00A65B41" w:rsidRPr="004A28F1">
        <w:rPr>
          <w:rFonts w:ascii="Arial" w:hAnsi="Arial" w:cs="Arial"/>
          <w:sz w:val="22"/>
          <w:szCs w:val="22"/>
        </w:rPr>
        <w:t>R</w:t>
      </w:r>
      <w:r w:rsidR="00E2290C" w:rsidRPr="004A28F1">
        <w:rPr>
          <w:rFonts w:ascii="Arial" w:hAnsi="Arial" w:cs="Arial"/>
          <w:sz w:val="22"/>
          <w:szCs w:val="22"/>
        </w:rPr>
        <w:t>P</w:t>
      </w:r>
      <w:r w:rsidR="00A65B41" w:rsidRPr="004A28F1">
        <w:rPr>
          <w:rFonts w:ascii="Arial" w:hAnsi="Arial" w:cs="Arial"/>
          <w:sz w:val="22"/>
          <w:szCs w:val="22"/>
        </w:rPr>
        <w:t>CPPE</w:t>
      </w:r>
      <w:r w:rsidR="00C345CC" w:rsidRPr="004A28F1">
        <w:rPr>
          <w:rFonts w:ascii="Arial" w:hAnsi="Arial" w:cs="Arial"/>
          <w:sz w:val="22"/>
          <w:szCs w:val="22"/>
        </w:rPr>
        <w:t xml:space="preserve">, however, was </w:t>
      </w:r>
      <w:r w:rsidR="00A65B41" w:rsidRPr="004A28F1">
        <w:rPr>
          <w:rFonts w:ascii="Arial" w:hAnsi="Arial" w:cs="Arial"/>
          <w:sz w:val="22"/>
          <w:szCs w:val="22"/>
        </w:rPr>
        <w:t>not reconciled with the accounting and inventory records contrary to Item 6.3 of COA Circular No. 2020-006.</w:t>
      </w:r>
      <w:r w:rsidR="008E786B" w:rsidRPr="004A28F1">
        <w:rPr>
          <w:rFonts w:ascii="Arial" w:hAnsi="Arial" w:cs="Arial"/>
          <w:bCs/>
          <w:sz w:val="22"/>
          <w:szCs w:val="22"/>
          <w:lang w:val="en-PH"/>
        </w:rPr>
        <w:t xml:space="preserve"> </w:t>
      </w:r>
      <w:r w:rsidR="00DC13C5" w:rsidRPr="004A28F1">
        <w:rPr>
          <w:rFonts w:ascii="Arial" w:hAnsi="Arial" w:cs="Arial"/>
          <w:bCs/>
          <w:sz w:val="22"/>
          <w:szCs w:val="22"/>
          <w:lang w:val="en-PH"/>
        </w:rPr>
        <w:t>Also, a</w:t>
      </w:r>
      <w:r w:rsidR="003B4D22" w:rsidRPr="004A28F1">
        <w:rPr>
          <w:rFonts w:ascii="Arial" w:hAnsi="Arial" w:cs="Arial"/>
          <w:bCs/>
          <w:sz w:val="22"/>
          <w:szCs w:val="22"/>
          <w:lang w:val="en-PH"/>
        </w:rPr>
        <w:t xml:space="preserve"> representative of the COA was not invited to witness the said physical inventory.</w:t>
      </w:r>
    </w:p>
    <w:p w14:paraId="553C1D7A" w14:textId="77777777" w:rsidR="007F7748" w:rsidRPr="004A28F1" w:rsidRDefault="007F7748" w:rsidP="00E2290C">
      <w:pPr>
        <w:pStyle w:val="NoSpacing1"/>
      </w:pPr>
    </w:p>
    <w:p w14:paraId="16A88A5F" w14:textId="343CC7CE" w:rsidR="00C76F7D" w:rsidRPr="004A28F1" w:rsidRDefault="006D6A90" w:rsidP="00C56739">
      <w:pPr>
        <w:pStyle w:val="ListParagraph"/>
        <w:numPr>
          <w:ilvl w:val="1"/>
          <w:numId w:val="25"/>
        </w:numPr>
        <w:shd w:val="clear" w:color="auto" w:fill="FFFFFF"/>
        <w:ind w:left="709" w:firstLine="0"/>
        <w:jc w:val="both"/>
        <w:rPr>
          <w:rFonts w:ascii="Arial" w:hAnsi="Arial" w:cs="Arial"/>
          <w:bCs/>
          <w:i/>
          <w:sz w:val="22"/>
          <w:szCs w:val="22"/>
        </w:rPr>
      </w:pPr>
      <w:r w:rsidRPr="004A28F1">
        <w:rPr>
          <w:rFonts w:ascii="Arial" w:hAnsi="Arial" w:cs="Arial"/>
          <w:i/>
          <w:sz w:val="22"/>
          <w:szCs w:val="22"/>
        </w:rPr>
        <w:t>Incomplete supporting documents on</w:t>
      </w:r>
      <w:r w:rsidR="00C76F7D" w:rsidRPr="004A28F1">
        <w:rPr>
          <w:rFonts w:ascii="Arial" w:hAnsi="Arial" w:cs="Arial"/>
          <w:i/>
          <w:sz w:val="22"/>
          <w:szCs w:val="22"/>
        </w:rPr>
        <w:t xml:space="preserve"> derecognition of </w:t>
      </w:r>
      <w:r w:rsidR="00C56739" w:rsidRPr="004A28F1">
        <w:rPr>
          <w:rFonts w:ascii="Arial" w:hAnsi="Arial" w:cs="Arial"/>
          <w:i/>
          <w:sz w:val="22"/>
          <w:szCs w:val="22"/>
        </w:rPr>
        <w:t>Furniture, Fixture and Equipment (</w:t>
      </w:r>
      <w:r w:rsidR="00C76F7D" w:rsidRPr="004A28F1">
        <w:rPr>
          <w:rFonts w:ascii="Arial" w:hAnsi="Arial" w:cs="Arial"/>
          <w:i/>
          <w:sz w:val="22"/>
          <w:szCs w:val="22"/>
        </w:rPr>
        <w:t>FFE</w:t>
      </w:r>
      <w:r w:rsidR="00C56739" w:rsidRPr="004A28F1">
        <w:rPr>
          <w:rFonts w:ascii="Arial" w:hAnsi="Arial" w:cs="Arial"/>
          <w:i/>
          <w:sz w:val="22"/>
          <w:szCs w:val="22"/>
        </w:rPr>
        <w:t>)</w:t>
      </w:r>
      <w:r w:rsidR="00C76F7D" w:rsidRPr="004A28F1">
        <w:rPr>
          <w:rFonts w:ascii="Arial" w:hAnsi="Arial" w:cs="Arial"/>
          <w:i/>
          <w:sz w:val="22"/>
          <w:szCs w:val="22"/>
        </w:rPr>
        <w:t xml:space="preserve"> items </w:t>
      </w:r>
      <w:r w:rsidRPr="004A28F1">
        <w:rPr>
          <w:rFonts w:ascii="Arial" w:hAnsi="Arial" w:cs="Arial"/>
          <w:i/>
          <w:sz w:val="22"/>
          <w:szCs w:val="22"/>
        </w:rPr>
        <w:t>amounting</w:t>
      </w:r>
      <w:r w:rsidR="00C76F7D" w:rsidRPr="004A28F1">
        <w:rPr>
          <w:rFonts w:ascii="Arial" w:hAnsi="Arial" w:cs="Arial"/>
          <w:i/>
          <w:sz w:val="22"/>
          <w:szCs w:val="22"/>
        </w:rPr>
        <w:t xml:space="preserve"> P9</w:t>
      </w:r>
      <w:r w:rsidR="00AF14D4" w:rsidRPr="004A28F1">
        <w:rPr>
          <w:rFonts w:ascii="Arial" w:hAnsi="Arial" w:cs="Arial"/>
          <w:i/>
          <w:sz w:val="22"/>
          <w:szCs w:val="22"/>
        </w:rPr>
        <w:t>.</w:t>
      </w:r>
      <w:r w:rsidR="00C76F7D" w:rsidRPr="004A28F1">
        <w:rPr>
          <w:rFonts w:ascii="Arial" w:hAnsi="Arial" w:cs="Arial"/>
          <w:i/>
          <w:sz w:val="22"/>
          <w:szCs w:val="22"/>
        </w:rPr>
        <w:t>33</w:t>
      </w:r>
      <w:r w:rsidR="00AF14D4" w:rsidRPr="004A28F1">
        <w:rPr>
          <w:rFonts w:ascii="Arial" w:hAnsi="Arial" w:cs="Arial"/>
          <w:i/>
          <w:sz w:val="22"/>
          <w:szCs w:val="22"/>
        </w:rPr>
        <w:t>4 million</w:t>
      </w:r>
      <w:r w:rsidR="00C54E38" w:rsidRPr="004A28F1">
        <w:rPr>
          <w:rFonts w:ascii="Arial" w:hAnsi="Arial" w:cs="Arial"/>
          <w:i/>
          <w:sz w:val="22"/>
          <w:szCs w:val="22"/>
        </w:rPr>
        <w:tab/>
      </w:r>
    </w:p>
    <w:p w14:paraId="5AD12BC3" w14:textId="77777777" w:rsidR="00C76F7D" w:rsidRPr="004A28F1" w:rsidRDefault="00C76F7D" w:rsidP="00C76F7D">
      <w:pPr>
        <w:pStyle w:val="ListParagraph"/>
        <w:shd w:val="clear" w:color="auto" w:fill="FFFFFF"/>
        <w:jc w:val="both"/>
        <w:rPr>
          <w:rFonts w:ascii="Arial" w:hAnsi="Arial" w:cs="Arial"/>
          <w:bCs/>
          <w:sz w:val="22"/>
          <w:szCs w:val="22"/>
        </w:rPr>
      </w:pPr>
    </w:p>
    <w:p w14:paraId="2588BC19" w14:textId="0C5E539F" w:rsidR="00C76F7D" w:rsidRPr="004A28F1" w:rsidRDefault="00B717EE" w:rsidP="00B717EE">
      <w:pPr>
        <w:pStyle w:val="ListParagraph"/>
        <w:shd w:val="clear" w:color="auto" w:fill="FFFFFF"/>
        <w:jc w:val="both"/>
        <w:rPr>
          <w:rFonts w:ascii="Arial" w:hAnsi="Arial" w:cs="Arial"/>
          <w:bCs/>
          <w:sz w:val="22"/>
          <w:szCs w:val="22"/>
        </w:rPr>
      </w:pPr>
      <w:r w:rsidRPr="004A28F1">
        <w:rPr>
          <w:rFonts w:ascii="Arial" w:hAnsi="Arial" w:cs="Arial"/>
          <w:bCs/>
          <w:sz w:val="22"/>
          <w:szCs w:val="22"/>
        </w:rPr>
        <w:t xml:space="preserve">In CY 2020 audit, it was noted that </w:t>
      </w:r>
      <w:r w:rsidR="003B4D22" w:rsidRPr="004A28F1">
        <w:rPr>
          <w:rFonts w:ascii="Arial" w:hAnsi="Arial" w:cs="Arial"/>
          <w:bCs/>
          <w:sz w:val="22"/>
          <w:szCs w:val="22"/>
        </w:rPr>
        <w:t xml:space="preserve">only the List of Transferred or Sold Properties was attached </w:t>
      </w:r>
      <w:r w:rsidR="00FB7028" w:rsidRPr="004A28F1">
        <w:rPr>
          <w:rFonts w:ascii="Arial" w:hAnsi="Arial" w:cs="Arial"/>
          <w:bCs/>
          <w:sz w:val="22"/>
          <w:szCs w:val="22"/>
        </w:rPr>
        <w:t xml:space="preserve">the journal tickets on the </w:t>
      </w:r>
      <w:r w:rsidRPr="004A28F1">
        <w:rPr>
          <w:rFonts w:ascii="Arial" w:hAnsi="Arial" w:cs="Arial"/>
          <w:bCs/>
          <w:sz w:val="22"/>
          <w:szCs w:val="22"/>
        </w:rPr>
        <w:t>derecognition of FFE totaling P12.249 million</w:t>
      </w:r>
      <w:r w:rsidR="00FB7028" w:rsidRPr="004A28F1">
        <w:rPr>
          <w:rFonts w:ascii="Arial" w:hAnsi="Arial" w:cs="Arial"/>
          <w:bCs/>
          <w:sz w:val="22"/>
          <w:szCs w:val="22"/>
        </w:rPr>
        <w:t xml:space="preserve">. </w:t>
      </w:r>
      <w:r w:rsidR="003B4D22" w:rsidRPr="004A28F1">
        <w:rPr>
          <w:rFonts w:ascii="Arial" w:hAnsi="Arial" w:cs="Arial"/>
          <w:bCs/>
          <w:sz w:val="22"/>
          <w:szCs w:val="22"/>
        </w:rPr>
        <w:t xml:space="preserve"> </w:t>
      </w:r>
      <w:r w:rsidR="00FB7028" w:rsidRPr="004A28F1">
        <w:rPr>
          <w:rFonts w:ascii="Arial" w:hAnsi="Arial" w:cs="Arial"/>
          <w:bCs/>
          <w:sz w:val="22"/>
          <w:szCs w:val="22"/>
        </w:rPr>
        <w:t xml:space="preserve">Other documents required under COA Circular No. 89-296 such as Invoice, Receipt of Property, Deed of Sale or Transfer or other negotiation agreements were not presented.  </w:t>
      </w:r>
      <w:r w:rsidRPr="004A28F1">
        <w:rPr>
          <w:rFonts w:ascii="Arial" w:hAnsi="Arial" w:cs="Arial"/>
          <w:bCs/>
          <w:sz w:val="22"/>
          <w:szCs w:val="22"/>
        </w:rPr>
        <w:t xml:space="preserve">Of the </w:t>
      </w:r>
      <w:r w:rsidR="003B4D22" w:rsidRPr="004A28F1">
        <w:rPr>
          <w:rFonts w:ascii="Arial" w:hAnsi="Arial" w:cs="Arial"/>
          <w:bCs/>
          <w:sz w:val="22"/>
          <w:szCs w:val="22"/>
        </w:rPr>
        <w:t>P12.249 million</w:t>
      </w:r>
      <w:r w:rsidRPr="004A28F1">
        <w:rPr>
          <w:rFonts w:ascii="Arial" w:hAnsi="Arial" w:cs="Arial"/>
          <w:bCs/>
          <w:sz w:val="22"/>
          <w:szCs w:val="22"/>
        </w:rPr>
        <w:t>, properties valued at P9.334 million remained unsupported with relevant documents as at December 31, 2022, to wit:</w:t>
      </w:r>
    </w:p>
    <w:tbl>
      <w:tblPr>
        <w:tblpPr w:leftFromText="180" w:rightFromText="180" w:vertAnchor="text" w:horzAnchor="margin" w:tblpX="704" w:tblpY="228"/>
        <w:tblOverlap w:val="never"/>
        <w:tblW w:w="8082" w:type="dxa"/>
        <w:tblLayout w:type="fixed"/>
        <w:tblLook w:val="04A0" w:firstRow="1" w:lastRow="0" w:firstColumn="1" w:lastColumn="0" w:noHBand="0" w:noVBand="1"/>
      </w:tblPr>
      <w:tblGrid>
        <w:gridCol w:w="1129"/>
        <w:gridCol w:w="1638"/>
        <w:gridCol w:w="16"/>
        <w:gridCol w:w="773"/>
        <w:gridCol w:w="16"/>
        <w:gridCol w:w="1901"/>
        <w:gridCol w:w="16"/>
        <w:gridCol w:w="230"/>
        <w:gridCol w:w="16"/>
        <w:gridCol w:w="1154"/>
        <w:gridCol w:w="16"/>
        <w:gridCol w:w="1169"/>
        <w:gridCol w:w="8"/>
      </w:tblGrid>
      <w:tr w:rsidR="004A28F1" w:rsidRPr="004A28F1" w14:paraId="5109F7C1" w14:textId="77777777" w:rsidTr="00592DA8">
        <w:trPr>
          <w:gridAfter w:val="1"/>
          <w:wAfter w:w="8" w:type="dxa"/>
          <w:trHeight w:val="167"/>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ADCF1" w14:textId="77777777" w:rsidR="009811E1" w:rsidRPr="004A28F1" w:rsidRDefault="009811E1" w:rsidP="00592DA8">
            <w:pPr>
              <w:ind w:left="-30"/>
              <w:jc w:val="center"/>
              <w:rPr>
                <w:rFonts w:ascii="Arial" w:hAnsi="Arial" w:cs="Arial"/>
                <w:b/>
                <w:bCs/>
                <w:sz w:val="20"/>
                <w:szCs w:val="20"/>
                <w:lang w:val="en-PH" w:eastAsia="en-PH"/>
              </w:rPr>
            </w:pPr>
            <w:r w:rsidRPr="004A28F1">
              <w:rPr>
                <w:rFonts w:ascii="Arial" w:hAnsi="Arial" w:cs="Arial"/>
                <w:b/>
                <w:bCs/>
                <w:sz w:val="20"/>
                <w:szCs w:val="20"/>
              </w:rPr>
              <w:t>Entry date</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629AD1A1" w14:textId="77777777" w:rsidR="009811E1" w:rsidRPr="004A28F1" w:rsidRDefault="009811E1" w:rsidP="00592DA8">
            <w:pPr>
              <w:jc w:val="center"/>
              <w:rPr>
                <w:rFonts w:ascii="Arial" w:hAnsi="Arial" w:cs="Arial"/>
                <w:b/>
                <w:bCs/>
                <w:sz w:val="20"/>
                <w:szCs w:val="20"/>
              </w:rPr>
            </w:pPr>
            <w:r w:rsidRPr="004A28F1">
              <w:rPr>
                <w:rFonts w:ascii="Arial" w:hAnsi="Arial" w:cs="Arial"/>
                <w:b/>
                <w:bCs/>
                <w:sz w:val="20"/>
                <w:szCs w:val="20"/>
              </w:rPr>
              <w:t>Disposition</w:t>
            </w:r>
          </w:p>
        </w:tc>
        <w:tc>
          <w:tcPr>
            <w:tcW w:w="789" w:type="dxa"/>
            <w:gridSpan w:val="2"/>
            <w:tcBorders>
              <w:top w:val="single" w:sz="4" w:space="0" w:color="auto"/>
              <w:left w:val="single" w:sz="4" w:space="0" w:color="auto"/>
              <w:bottom w:val="single" w:sz="4" w:space="0" w:color="auto"/>
              <w:right w:val="single" w:sz="4" w:space="0" w:color="auto"/>
            </w:tcBorders>
            <w:vAlign w:val="center"/>
          </w:tcPr>
          <w:p w14:paraId="686903A6" w14:textId="77777777" w:rsidR="009811E1" w:rsidRPr="004A28F1" w:rsidRDefault="009811E1" w:rsidP="00592DA8">
            <w:pPr>
              <w:jc w:val="center"/>
              <w:rPr>
                <w:rFonts w:ascii="Arial" w:hAnsi="Arial" w:cs="Arial"/>
                <w:b/>
                <w:bCs/>
                <w:sz w:val="20"/>
                <w:szCs w:val="20"/>
              </w:rPr>
            </w:pPr>
            <w:r w:rsidRPr="004A28F1">
              <w:rPr>
                <w:rFonts w:ascii="Arial" w:hAnsi="Arial" w:cs="Arial"/>
                <w:b/>
                <w:bCs/>
                <w:sz w:val="20"/>
                <w:szCs w:val="20"/>
              </w:rPr>
              <w:t>No. of Items</w:t>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DE24E" w14:textId="77777777" w:rsidR="009811E1" w:rsidRPr="004A28F1" w:rsidRDefault="009811E1" w:rsidP="00592DA8">
            <w:pPr>
              <w:jc w:val="center"/>
              <w:rPr>
                <w:rFonts w:ascii="Arial" w:hAnsi="Arial" w:cs="Arial"/>
                <w:b/>
                <w:bCs/>
                <w:sz w:val="20"/>
                <w:szCs w:val="20"/>
              </w:rPr>
            </w:pPr>
            <w:r w:rsidRPr="004A28F1">
              <w:rPr>
                <w:rFonts w:ascii="Arial" w:hAnsi="Arial" w:cs="Arial"/>
                <w:b/>
                <w:bCs/>
                <w:sz w:val="20"/>
                <w:szCs w:val="20"/>
              </w:rPr>
              <w:t>Cost</w:t>
            </w:r>
          </w:p>
        </w:tc>
        <w:tc>
          <w:tcPr>
            <w:tcW w:w="246" w:type="dxa"/>
            <w:gridSpan w:val="2"/>
            <w:tcBorders>
              <w:top w:val="single" w:sz="4" w:space="0" w:color="auto"/>
              <w:left w:val="nil"/>
              <w:bottom w:val="single" w:sz="4" w:space="0" w:color="auto"/>
              <w:right w:val="nil"/>
            </w:tcBorders>
            <w:vAlign w:val="center"/>
          </w:tcPr>
          <w:p w14:paraId="61A8910E" w14:textId="77777777" w:rsidR="009811E1" w:rsidRPr="004A28F1" w:rsidRDefault="009811E1" w:rsidP="00592DA8">
            <w:pPr>
              <w:ind w:hanging="45"/>
              <w:jc w:val="center"/>
              <w:rPr>
                <w:rFonts w:ascii="Arial" w:hAnsi="Arial" w:cs="Arial"/>
                <w:b/>
                <w:bCs/>
                <w:sz w:val="20"/>
                <w:szCs w:val="20"/>
              </w:rPr>
            </w:pP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9F8C7F" w14:textId="6649DC66" w:rsidR="009811E1" w:rsidRPr="004A28F1" w:rsidRDefault="009811E1" w:rsidP="00592DA8">
            <w:pPr>
              <w:jc w:val="center"/>
              <w:rPr>
                <w:rFonts w:ascii="Arial" w:hAnsi="Arial" w:cs="Arial"/>
                <w:b/>
                <w:bCs/>
                <w:sz w:val="20"/>
                <w:szCs w:val="20"/>
              </w:rPr>
            </w:pPr>
            <w:r w:rsidRPr="004A28F1">
              <w:rPr>
                <w:rFonts w:ascii="Arial" w:hAnsi="Arial" w:cs="Arial"/>
                <w:b/>
                <w:bCs/>
                <w:sz w:val="20"/>
                <w:szCs w:val="20"/>
              </w:rPr>
              <w:t>N</w:t>
            </w:r>
            <w:r w:rsidR="00B717EE" w:rsidRPr="004A28F1">
              <w:rPr>
                <w:rFonts w:ascii="Arial" w:hAnsi="Arial" w:cs="Arial"/>
                <w:b/>
                <w:bCs/>
                <w:sz w:val="20"/>
                <w:szCs w:val="20"/>
              </w:rPr>
              <w:t>et Book Value</w:t>
            </w:r>
          </w:p>
        </w:tc>
        <w:tc>
          <w:tcPr>
            <w:tcW w:w="1185" w:type="dxa"/>
            <w:gridSpan w:val="2"/>
            <w:tcBorders>
              <w:top w:val="single" w:sz="4" w:space="0" w:color="auto"/>
              <w:left w:val="nil"/>
              <w:bottom w:val="single" w:sz="4" w:space="0" w:color="auto"/>
              <w:right w:val="single" w:sz="4" w:space="0" w:color="auto"/>
            </w:tcBorders>
            <w:vAlign w:val="center"/>
          </w:tcPr>
          <w:p w14:paraId="4DDDCCE3" w14:textId="44F0D096" w:rsidR="009811E1" w:rsidRPr="004A28F1" w:rsidRDefault="009811E1" w:rsidP="00592DA8">
            <w:pPr>
              <w:jc w:val="center"/>
              <w:rPr>
                <w:rFonts w:ascii="Arial" w:hAnsi="Arial" w:cs="Arial"/>
                <w:b/>
                <w:bCs/>
                <w:sz w:val="20"/>
                <w:szCs w:val="20"/>
              </w:rPr>
            </w:pPr>
            <w:r w:rsidRPr="004A28F1">
              <w:rPr>
                <w:rFonts w:ascii="Arial" w:hAnsi="Arial" w:cs="Arial"/>
                <w:b/>
                <w:bCs/>
                <w:sz w:val="20"/>
                <w:szCs w:val="20"/>
              </w:rPr>
              <w:t>Ref</w:t>
            </w:r>
            <w:r w:rsidR="00B717EE" w:rsidRPr="004A28F1">
              <w:rPr>
                <w:rFonts w:ascii="Arial" w:hAnsi="Arial" w:cs="Arial"/>
                <w:b/>
                <w:bCs/>
                <w:sz w:val="20"/>
                <w:szCs w:val="20"/>
              </w:rPr>
              <w:t>erence</w:t>
            </w:r>
          </w:p>
        </w:tc>
      </w:tr>
      <w:tr w:rsidR="004A28F1" w:rsidRPr="004A28F1" w14:paraId="478370D3" w14:textId="77777777" w:rsidTr="00592DA8">
        <w:trPr>
          <w:gridAfter w:val="1"/>
          <w:wAfter w:w="8" w:type="dxa"/>
          <w:trHeight w:val="167"/>
        </w:trPr>
        <w:tc>
          <w:tcPr>
            <w:tcW w:w="1129" w:type="dxa"/>
            <w:vMerge w:val="restart"/>
            <w:tcBorders>
              <w:top w:val="single" w:sz="4" w:space="0" w:color="auto"/>
              <w:left w:val="single" w:sz="4" w:space="0" w:color="auto"/>
              <w:right w:val="single" w:sz="4" w:space="0" w:color="auto"/>
            </w:tcBorders>
            <w:shd w:val="clear" w:color="auto" w:fill="auto"/>
            <w:noWrap/>
            <w:hideMark/>
          </w:tcPr>
          <w:p w14:paraId="06729869" w14:textId="77777777" w:rsidR="009811E1" w:rsidRPr="004A28F1" w:rsidRDefault="009811E1" w:rsidP="00592DA8">
            <w:pPr>
              <w:rPr>
                <w:rFonts w:ascii="Arial" w:hAnsi="Arial" w:cs="Arial"/>
                <w:sz w:val="20"/>
                <w:szCs w:val="20"/>
              </w:rPr>
            </w:pPr>
            <w:r w:rsidRPr="004A28F1">
              <w:rPr>
                <w:rFonts w:ascii="Arial" w:hAnsi="Arial" w:cs="Arial"/>
                <w:sz w:val="20"/>
                <w:szCs w:val="20"/>
              </w:rPr>
              <w:t>01/31/20</w:t>
            </w:r>
          </w:p>
        </w:tc>
        <w:tc>
          <w:tcPr>
            <w:tcW w:w="1638" w:type="dxa"/>
            <w:tcBorders>
              <w:top w:val="single" w:sz="4" w:space="0" w:color="auto"/>
              <w:left w:val="nil"/>
              <w:bottom w:val="single" w:sz="4" w:space="0" w:color="auto"/>
              <w:right w:val="single" w:sz="4" w:space="0" w:color="auto"/>
            </w:tcBorders>
            <w:shd w:val="clear" w:color="auto" w:fill="auto"/>
            <w:noWrap/>
            <w:hideMark/>
          </w:tcPr>
          <w:p w14:paraId="754D99D5" w14:textId="77777777" w:rsidR="009811E1" w:rsidRPr="004A28F1" w:rsidRDefault="009811E1" w:rsidP="00592DA8">
            <w:pPr>
              <w:rPr>
                <w:rFonts w:ascii="Arial" w:hAnsi="Arial" w:cs="Arial"/>
                <w:sz w:val="20"/>
                <w:szCs w:val="20"/>
              </w:rPr>
            </w:pPr>
            <w:r w:rsidRPr="004A28F1">
              <w:rPr>
                <w:rFonts w:ascii="Arial" w:hAnsi="Arial" w:cs="Arial"/>
                <w:sz w:val="20"/>
                <w:szCs w:val="20"/>
              </w:rPr>
              <w:t>Impaired</w:t>
            </w:r>
          </w:p>
        </w:tc>
        <w:tc>
          <w:tcPr>
            <w:tcW w:w="789" w:type="dxa"/>
            <w:gridSpan w:val="2"/>
            <w:tcBorders>
              <w:top w:val="nil"/>
              <w:left w:val="single" w:sz="4" w:space="0" w:color="auto"/>
              <w:bottom w:val="single" w:sz="4" w:space="0" w:color="auto"/>
              <w:right w:val="single" w:sz="4" w:space="0" w:color="auto"/>
            </w:tcBorders>
            <w:shd w:val="clear" w:color="auto" w:fill="auto"/>
          </w:tcPr>
          <w:p w14:paraId="3D13683B" w14:textId="77777777" w:rsidR="009811E1" w:rsidRPr="004A28F1" w:rsidRDefault="009811E1" w:rsidP="00592DA8">
            <w:pPr>
              <w:jc w:val="right"/>
              <w:rPr>
                <w:rFonts w:ascii="Arial" w:hAnsi="Arial" w:cs="Arial"/>
                <w:sz w:val="20"/>
                <w:szCs w:val="20"/>
              </w:rPr>
            </w:pPr>
            <w:r w:rsidRPr="004A28F1">
              <w:rPr>
                <w:rFonts w:ascii="Arial" w:hAnsi="Arial" w:cs="Arial"/>
                <w:sz w:val="20"/>
                <w:szCs w:val="20"/>
              </w:rPr>
              <w:t>3</w:t>
            </w:r>
          </w:p>
        </w:tc>
        <w:tc>
          <w:tcPr>
            <w:tcW w:w="1917" w:type="dxa"/>
            <w:gridSpan w:val="2"/>
            <w:tcBorders>
              <w:top w:val="nil"/>
              <w:left w:val="single" w:sz="4" w:space="0" w:color="auto"/>
              <w:bottom w:val="single" w:sz="4" w:space="0" w:color="auto"/>
              <w:right w:val="single" w:sz="4" w:space="0" w:color="auto"/>
            </w:tcBorders>
            <w:shd w:val="clear" w:color="auto" w:fill="auto"/>
            <w:noWrap/>
            <w:hideMark/>
          </w:tcPr>
          <w:p w14:paraId="2C926FFC" w14:textId="6189FCF2" w:rsidR="009811E1" w:rsidRPr="004A28F1" w:rsidRDefault="009811E1" w:rsidP="00592DA8">
            <w:pPr>
              <w:tabs>
                <w:tab w:val="right" w:pos="1610"/>
              </w:tabs>
              <w:jc w:val="right"/>
              <w:rPr>
                <w:rFonts w:ascii="Arial" w:hAnsi="Arial" w:cs="Arial"/>
                <w:sz w:val="20"/>
                <w:szCs w:val="20"/>
              </w:rPr>
            </w:pPr>
            <w:r w:rsidRPr="004A28F1">
              <w:rPr>
                <w:rFonts w:ascii="Arial" w:hAnsi="Arial" w:cs="Arial"/>
                <w:sz w:val="20"/>
                <w:szCs w:val="20"/>
              </w:rPr>
              <w:tab/>
              <w:t xml:space="preserve">     1,679,964 </w:t>
            </w:r>
          </w:p>
        </w:tc>
        <w:tc>
          <w:tcPr>
            <w:tcW w:w="246" w:type="dxa"/>
            <w:gridSpan w:val="2"/>
            <w:tcBorders>
              <w:top w:val="nil"/>
              <w:left w:val="nil"/>
              <w:bottom w:val="single" w:sz="4" w:space="0" w:color="auto"/>
              <w:right w:val="nil"/>
            </w:tcBorders>
          </w:tcPr>
          <w:p w14:paraId="76A93C00" w14:textId="05B9B898" w:rsidR="009811E1" w:rsidRPr="004A28F1" w:rsidDel="009811E1" w:rsidRDefault="009811E1" w:rsidP="00592DA8">
            <w:pPr>
              <w:ind w:hanging="45"/>
              <w:jc w:val="right"/>
              <w:rPr>
                <w:rFonts w:ascii="Arial" w:hAnsi="Arial" w:cs="Arial"/>
                <w:sz w:val="20"/>
                <w:szCs w:val="20"/>
              </w:rPr>
            </w:pPr>
          </w:p>
        </w:tc>
        <w:tc>
          <w:tcPr>
            <w:tcW w:w="1170" w:type="dxa"/>
            <w:gridSpan w:val="2"/>
            <w:tcBorders>
              <w:top w:val="nil"/>
              <w:left w:val="nil"/>
              <w:bottom w:val="single" w:sz="4" w:space="0" w:color="auto"/>
              <w:right w:val="single" w:sz="4" w:space="0" w:color="auto"/>
            </w:tcBorders>
            <w:shd w:val="clear" w:color="auto" w:fill="auto"/>
            <w:noWrap/>
            <w:hideMark/>
          </w:tcPr>
          <w:p w14:paraId="08DED424" w14:textId="1C6C2F61" w:rsidR="009811E1" w:rsidRPr="004A28F1" w:rsidRDefault="009811E1" w:rsidP="00592DA8">
            <w:pPr>
              <w:jc w:val="right"/>
              <w:rPr>
                <w:rFonts w:ascii="Arial" w:hAnsi="Arial" w:cs="Arial"/>
                <w:sz w:val="20"/>
                <w:szCs w:val="20"/>
              </w:rPr>
            </w:pPr>
            <w:r w:rsidRPr="004A28F1">
              <w:rPr>
                <w:rFonts w:ascii="Arial" w:hAnsi="Arial" w:cs="Arial"/>
                <w:sz w:val="20"/>
                <w:szCs w:val="20"/>
              </w:rPr>
              <w:tab/>
              <w:t xml:space="preserve">3 </w:t>
            </w:r>
          </w:p>
        </w:tc>
        <w:tc>
          <w:tcPr>
            <w:tcW w:w="1185" w:type="dxa"/>
            <w:gridSpan w:val="2"/>
            <w:tcBorders>
              <w:top w:val="nil"/>
              <w:left w:val="nil"/>
              <w:bottom w:val="single" w:sz="4" w:space="0" w:color="auto"/>
              <w:right w:val="single" w:sz="4" w:space="0" w:color="auto"/>
            </w:tcBorders>
          </w:tcPr>
          <w:p w14:paraId="677D2864" w14:textId="77777777" w:rsidR="009811E1" w:rsidRPr="004A28F1" w:rsidRDefault="009811E1" w:rsidP="00592DA8">
            <w:pPr>
              <w:jc w:val="center"/>
              <w:rPr>
                <w:rFonts w:ascii="Arial" w:hAnsi="Arial" w:cs="Arial"/>
                <w:b/>
                <w:bCs/>
                <w:sz w:val="20"/>
                <w:szCs w:val="20"/>
              </w:rPr>
            </w:pPr>
            <w:r w:rsidRPr="004A28F1">
              <w:rPr>
                <w:rFonts w:ascii="Arial" w:hAnsi="Arial" w:cs="Arial"/>
                <w:b/>
                <w:bCs/>
                <w:sz w:val="20"/>
                <w:szCs w:val="20"/>
              </w:rPr>
              <w:t>a</w:t>
            </w:r>
          </w:p>
        </w:tc>
      </w:tr>
      <w:tr w:rsidR="004A28F1" w:rsidRPr="004A28F1" w14:paraId="3C855DC9" w14:textId="77777777" w:rsidTr="003043F1">
        <w:trPr>
          <w:gridAfter w:val="1"/>
          <w:wAfter w:w="8" w:type="dxa"/>
          <w:trHeight w:val="167"/>
        </w:trPr>
        <w:tc>
          <w:tcPr>
            <w:tcW w:w="1129" w:type="dxa"/>
            <w:vMerge/>
            <w:tcBorders>
              <w:left w:val="single" w:sz="4" w:space="0" w:color="auto"/>
              <w:right w:val="single" w:sz="4" w:space="0" w:color="auto"/>
            </w:tcBorders>
            <w:shd w:val="clear" w:color="auto" w:fill="auto"/>
            <w:noWrap/>
          </w:tcPr>
          <w:p w14:paraId="188C2918" w14:textId="77777777" w:rsidR="009811E1" w:rsidRPr="004A28F1" w:rsidRDefault="009811E1" w:rsidP="00592DA8">
            <w:pPr>
              <w:rPr>
                <w:rFonts w:ascii="Arial" w:hAnsi="Arial" w:cs="Arial"/>
                <w:sz w:val="20"/>
                <w:szCs w:val="20"/>
              </w:rPr>
            </w:pPr>
          </w:p>
        </w:tc>
        <w:tc>
          <w:tcPr>
            <w:tcW w:w="1638" w:type="dxa"/>
            <w:tcBorders>
              <w:top w:val="nil"/>
              <w:left w:val="nil"/>
              <w:bottom w:val="single" w:sz="4" w:space="0" w:color="auto"/>
              <w:right w:val="single" w:sz="4" w:space="0" w:color="auto"/>
            </w:tcBorders>
            <w:shd w:val="clear" w:color="auto" w:fill="auto"/>
            <w:noWrap/>
            <w:hideMark/>
          </w:tcPr>
          <w:p w14:paraId="54113A69" w14:textId="77777777" w:rsidR="009811E1" w:rsidRPr="004A28F1" w:rsidRDefault="009811E1" w:rsidP="00592DA8">
            <w:pPr>
              <w:rPr>
                <w:rFonts w:ascii="Arial" w:hAnsi="Arial" w:cs="Arial"/>
                <w:sz w:val="20"/>
                <w:szCs w:val="20"/>
              </w:rPr>
            </w:pPr>
            <w:r w:rsidRPr="004A28F1">
              <w:rPr>
                <w:rFonts w:ascii="Arial" w:hAnsi="Arial" w:cs="Arial"/>
                <w:sz w:val="20"/>
                <w:szCs w:val="20"/>
              </w:rPr>
              <w:t>Impaired</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FAACEE" w14:textId="77777777" w:rsidR="009811E1" w:rsidRPr="004A28F1" w:rsidRDefault="009811E1" w:rsidP="00592DA8">
            <w:pPr>
              <w:jc w:val="right"/>
              <w:rPr>
                <w:rFonts w:ascii="Arial" w:hAnsi="Arial" w:cs="Arial"/>
                <w:sz w:val="20"/>
                <w:szCs w:val="20"/>
              </w:rPr>
            </w:pPr>
            <w:r w:rsidRPr="004A28F1">
              <w:rPr>
                <w:rFonts w:ascii="Arial" w:hAnsi="Arial" w:cs="Arial"/>
                <w:sz w:val="20"/>
                <w:szCs w:val="20"/>
              </w:rPr>
              <w:t>3</w:t>
            </w:r>
          </w:p>
        </w:tc>
        <w:tc>
          <w:tcPr>
            <w:tcW w:w="1917" w:type="dxa"/>
            <w:gridSpan w:val="2"/>
            <w:tcBorders>
              <w:top w:val="single" w:sz="4" w:space="0" w:color="auto"/>
              <w:left w:val="single" w:sz="4" w:space="0" w:color="auto"/>
              <w:bottom w:val="single" w:sz="4" w:space="0" w:color="auto"/>
              <w:right w:val="nil"/>
            </w:tcBorders>
            <w:shd w:val="clear" w:color="auto" w:fill="auto"/>
            <w:noWrap/>
            <w:hideMark/>
          </w:tcPr>
          <w:p w14:paraId="32C8F7AF" w14:textId="77777777" w:rsidR="009811E1" w:rsidRPr="004A28F1" w:rsidRDefault="009811E1" w:rsidP="00592DA8">
            <w:pPr>
              <w:jc w:val="right"/>
              <w:rPr>
                <w:rFonts w:ascii="Arial" w:hAnsi="Arial" w:cs="Arial"/>
                <w:sz w:val="20"/>
                <w:szCs w:val="20"/>
              </w:rPr>
            </w:pPr>
            <w:r w:rsidRPr="004A28F1">
              <w:rPr>
                <w:rFonts w:ascii="Arial" w:hAnsi="Arial" w:cs="Arial"/>
                <w:sz w:val="20"/>
                <w:szCs w:val="20"/>
              </w:rPr>
              <w:t xml:space="preserve">2,144,335 </w:t>
            </w:r>
          </w:p>
        </w:tc>
        <w:tc>
          <w:tcPr>
            <w:tcW w:w="246" w:type="dxa"/>
            <w:gridSpan w:val="2"/>
            <w:tcBorders>
              <w:top w:val="single" w:sz="4" w:space="0" w:color="auto"/>
              <w:left w:val="single" w:sz="4" w:space="0" w:color="auto"/>
              <w:bottom w:val="single" w:sz="4" w:space="0" w:color="auto"/>
              <w:right w:val="single" w:sz="4" w:space="0" w:color="FFFFFF" w:themeColor="background1"/>
            </w:tcBorders>
          </w:tcPr>
          <w:p w14:paraId="3B19AE29" w14:textId="77777777" w:rsidR="009811E1" w:rsidRPr="004A28F1" w:rsidRDefault="009811E1" w:rsidP="00592DA8">
            <w:pPr>
              <w:ind w:hanging="45"/>
              <w:jc w:val="right"/>
              <w:rPr>
                <w:rFonts w:ascii="Arial" w:hAnsi="Arial" w:cs="Arial"/>
                <w:sz w:val="20"/>
                <w:szCs w:val="20"/>
              </w:rPr>
            </w:pPr>
          </w:p>
        </w:tc>
        <w:tc>
          <w:tcPr>
            <w:tcW w:w="1170" w:type="dxa"/>
            <w:gridSpan w:val="2"/>
            <w:tcBorders>
              <w:top w:val="single" w:sz="4" w:space="0" w:color="auto"/>
              <w:left w:val="single" w:sz="4" w:space="0" w:color="FFFFFF" w:themeColor="background1"/>
              <w:bottom w:val="single" w:sz="4" w:space="0" w:color="auto"/>
              <w:right w:val="single" w:sz="4" w:space="0" w:color="auto"/>
            </w:tcBorders>
            <w:shd w:val="clear" w:color="auto" w:fill="auto"/>
            <w:noWrap/>
            <w:hideMark/>
          </w:tcPr>
          <w:p w14:paraId="62D2CA84" w14:textId="556FBFB0" w:rsidR="009811E1" w:rsidRPr="004A28F1" w:rsidRDefault="009811E1" w:rsidP="00592DA8">
            <w:pPr>
              <w:jc w:val="right"/>
              <w:rPr>
                <w:rFonts w:ascii="Arial" w:hAnsi="Arial" w:cs="Arial"/>
                <w:sz w:val="20"/>
                <w:szCs w:val="20"/>
              </w:rPr>
            </w:pPr>
            <w:r w:rsidRPr="004A28F1">
              <w:rPr>
                <w:rFonts w:ascii="Arial" w:hAnsi="Arial" w:cs="Arial"/>
                <w:sz w:val="20"/>
                <w:szCs w:val="20"/>
              </w:rPr>
              <w:t xml:space="preserve">3 </w:t>
            </w:r>
          </w:p>
        </w:tc>
        <w:tc>
          <w:tcPr>
            <w:tcW w:w="1185" w:type="dxa"/>
            <w:gridSpan w:val="2"/>
            <w:tcBorders>
              <w:top w:val="single" w:sz="4" w:space="0" w:color="auto"/>
              <w:left w:val="single" w:sz="4" w:space="0" w:color="auto"/>
              <w:bottom w:val="single" w:sz="4" w:space="0" w:color="auto"/>
              <w:right w:val="single" w:sz="4" w:space="0" w:color="auto"/>
            </w:tcBorders>
          </w:tcPr>
          <w:p w14:paraId="4BB010E7" w14:textId="77777777" w:rsidR="009811E1" w:rsidRPr="004A28F1" w:rsidRDefault="009811E1" w:rsidP="00592DA8">
            <w:pPr>
              <w:jc w:val="center"/>
              <w:rPr>
                <w:rFonts w:ascii="Arial" w:hAnsi="Arial" w:cs="Arial"/>
                <w:b/>
                <w:bCs/>
                <w:sz w:val="20"/>
                <w:szCs w:val="20"/>
              </w:rPr>
            </w:pPr>
            <w:r w:rsidRPr="004A28F1">
              <w:rPr>
                <w:rFonts w:ascii="Arial" w:hAnsi="Arial" w:cs="Arial"/>
                <w:b/>
                <w:bCs/>
                <w:sz w:val="20"/>
                <w:szCs w:val="20"/>
              </w:rPr>
              <w:t>b</w:t>
            </w:r>
          </w:p>
        </w:tc>
      </w:tr>
      <w:tr w:rsidR="004A28F1" w:rsidRPr="004A28F1" w14:paraId="190485CA" w14:textId="77777777" w:rsidTr="00592DA8">
        <w:trPr>
          <w:gridAfter w:val="1"/>
          <w:wAfter w:w="8" w:type="dxa"/>
          <w:trHeight w:val="167"/>
        </w:trPr>
        <w:tc>
          <w:tcPr>
            <w:tcW w:w="1129" w:type="dxa"/>
            <w:vMerge/>
            <w:tcBorders>
              <w:left w:val="single" w:sz="4" w:space="0" w:color="auto"/>
              <w:right w:val="single" w:sz="4" w:space="0" w:color="auto"/>
            </w:tcBorders>
            <w:shd w:val="clear" w:color="auto" w:fill="auto"/>
            <w:noWrap/>
          </w:tcPr>
          <w:p w14:paraId="636BC920" w14:textId="77777777" w:rsidR="009811E1" w:rsidRPr="004A28F1" w:rsidRDefault="009811E1" w:rsidP="00592DA8">
            <w:pPr>
              <w:rPr>
                <w:rFonts w:ascii="Arial" w:hAnsi="Arial" w:cs="Arial"/>
                <w:sz w:val="20"/>
                <w:szCs w:val="20"/>
              </w:rPr>
            </w:pPr>
          </w:p>
        </w:tc>
        <w:tc>
          <w:tcPr>
            <w:tcW w:w="1638" w:type="dxa"/>
            <w:tcBorders>
              <w:top w:val="nil"/>
              <w:left w:val="nil"/>
              <w:bottom w:val="single" w:sz="4" w:space="0" w:color="auto"/>
              <w:right w:val="single" w:sz="4" w:space="0" w:color="auto"/>
            </w:tcBorders>
            <w:shd w:val="clear" w:color="auto" w:fill="auto"/>
            <w:noWrap/>
          </w:tcPr>
          <w:p w14:paraId="390FBA0D" w14:textId="77777777" w:rsidR="009811E1" w:rsidRPr="004A28F1" w:rsidRDefault="009811E1" w:rsidP="00592DA8">
            <w:pPr>
              <w:rPr>
                <w:rFonts w:ascii="Arial" w:hAnsi="Arial" w:cs="Arial"/>
                <w:sz w:val="20"/>
                <w:szCs w:val="20"/>
              </w:rPr>
            </w:pPr>
            <w:r w:rsidRPr="004A28F1">
              <w:rPr>
                <w:rFonts w:ascii="Arial" w:hAnsi="Arial" w:cs="Arial"/>
                <w:sz w:val="20"/>
                <w:szCs w:val="20"/>
              </w:rPr>
              <w:t>Impaired</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Pr>
          <w:p w14:paraId="2B614E01" w14:textId="77777777" w:rsidR="009811E1" w:rsidRPr="004A28F1" w:rsidRDefault="009811E1" w:rsidP="00592DA8">
            <w:pPr>
              <w:jc w:val="right"/>
              <w:rPr>
                <w:rFonts w:ascii="Arial" w:hAnsi="Arial" w:cs="Arial"/>
                <w:sz w:val="20"/>
                <w:szCs w:val="20"/>
              </w:rPr>
            </w:pPr>
            <w:r w:rsidRPr="004A28F1">
              <w:rPr>
                <w:rFonts w:ascii="Arial" w:hAnsi="Arial" w:cs="Arial"/>
                <w:sz w:val="20"/>
                <w:szCs w:val="20"/>
              </w:rPr>
              <w:t>17</w:t>
            </w:r>
          </w:p>
        </w:tc>
        <w:tc>
          <w:tcPr>
            <w:tcW w:w="1917" w:type="dxa"/>
            <w:gridSpan w:val="2"/>
            <w:tcBorders>
              <w:top w:val="single" w:sz="4" w:space="0" w:color="auto"/>
              <w:left w:val="single" w:sz="4" w:space="0" w:color="auto"/>
              <w:bottom w:val="nil"/>
              <w:right w:val="nil"/>
            </w:tcBorders>
            <w:shd w:val="clear" w:color="auto" w:fill="auto"/>
            <w:noWrap/>
          </w:tcPr>
          <w:p w14:paraId="4EFA4891" w14:textId="77777777" w:rsidR="009811E1" w:rsidRPr="004A28F1" w:rsidRDefault="009811E1" w:rsidP="00592DA8">
            <w:pPr>
              <w:jc w:val="right"/>
              <w:rPr>
                <w:rFonts w:ascii="Arial" w:hAnsi="Arial" w:cs="Arial"/>
                <w:sz w:val="20"/>
                <w:szCs w:val="20"/>
              </w:rPr>
            </w:pPr>
            <w:r w:rsidRPr="004A28F1">
              <w:rPr>
                <w:rFonts w:ascii="Arial" w:hAnsi="Arial" w:cs="Arial"/>
                <w:sz w:val="20"/>
                <w:szCs w:val="20"/>
              </w:rPr>
              <w:tab/>
              <w:t xml:space="preserve">1,367,670 </w:t>
            </w:r>
          </w:p>
        </w:tc>
        <w:tc>
          <w:tcPr>
            <w:tcW w:w="246" w:type="dxa"/>
            <w:gridSpan w:val="2"/>
            <w:tcBorders>
              <w:top w:val="single" w:sz="4" w:space="0" w:color="auto"/>
              <w:left w:val="single" w:sz="4" w:space="0" w:color="auto"/>
              <w:bottom w:val="single" w:sz="4" w:space="0" w:color="auto"/>
              <w:right w:val="single" w:sz="4" w:space="0" w:color="FFFFFF" w:themeColor="background1"/>
            </w:tcBorders>
          </w:tcPr>
          <w:p w14:paraId="70F886C0" w14:textId="77777777" w:rsidR="009811E1" w:rsidRPr="004A28F1" w:rsidRDefault="009811E1" w:rsidP="00592DA8">
            <w:pPr>
              <w:ind w:hanging="45"/>
              <w:jc w:val="right"/>
              <w:rPr>
                <w:rFonts w:ascii="Arial" w:hAnsi="Arial" w:cs="Arial"/>
                <w:sz w:val="20"/>
                <w:szCs w:val="20"/>
              </w:rPr>
            </w:pPr>
          </w:p>
        </w:tc>
        <w:tc>
          <w:tcPr>
            <w:tcW w:w="1170" w:type="dxa"/>
            <w:gridSpan w:val="2"/>
            <w:tcBorders>
              <w:top w:val="single" w:sz="4" w:space="0" w:color="auto"/>
              <w:left w:val="single" w:sz="4" w:space="0" w:color="FFFFFF" w:themeColor="background1"/>
              <w:bottom w:val="single" w:sz="4" w:space="0" w:color="auto"/>
              <w:right w:val="single" w:sz="4" w:space="0" w:color="auto"/>
            </w:tcBorders>
            <w:shd w:val="clear" w:color="auto" w:fill="auto"/>
            <w:noWrap/>
          </w:tcPr>
          <w:p w14:paraId="72BEB219" w14:textId="633B31F6" w:rsidR="009811E1" w:rsidRPr="004A28F1" w:rsidRDefault="009811E1" w:rsidP="00592DA8">
            <w:pPr>
              <w:jc w:val="right"/>
              <w:rPr>
                <w:rFonts w:ascii="Arial" w:hAnsi="Arial" w:cs="Arial"/>
                <w:sz w:val="20"/>
                <w:szCs w:val="20"/>
              </w:rPr>
            </w:pPr>
            <w:r w:rsidRPr="004A28F1">
              <w:rPr>
                <w:rFonts w:ascii="Arial" w:hAnsi="Arial" w:cs="Arial"/>
                <w:sz w:val="20"/>
                <w:szCs w:val="20"/>
              </w:rPr>
              <w:t xml:space="preserve">13,259 </w:t>
            </w:r>
          </w:p>
        </w:tc>
        <w:tc>
          <w:tcPr>
            <w:tcW w:w="1185" w:type="dxa"/>
            <w:gridSpan w:val="2"/>
            <w:vMerge w:val="restart"/>
            <w:tcBorders>
              <w:top w:val="single" w:sz="4" w:space="0" w:color="auto"/>
              <w:left w:val="single" w:sz="4" w:space="0" w:color="auto"/>
              <w:right w:val="single" w:sz="4" w:space="0" w:color="auto"/>
            </w:tcBorders>
            <w:vAlign w:val="center"/>
          </w:tcPr>
          <w:p w14:paraId="18C3579B" w14:textId="77777777" w:rsidR="009811E1" w:rsidRPr="004A28F1" w:rsidRDefault="009811E1" w:rsidP="00592DA8">
            <w:pPr>
              <w:jc w:val="center"/>
              <w:rPr>
                <w:rFonts w:ascii="Arial" w:hAnsi="Arial" w:cs="Arial"/>
                <w:b/>
                <w:bCs/>
                <w:sz w:val="20"/>
                <w:szCs w:val="20"/>
              </w:rPr>
            </w:pPr>
            <w:r w:rsidRPr="004A28F1">
              <w:rPr>
                <w:rFonts w:ascii="Arial" w:hAnsi="Arial" w:cs="Arial"/>
                <w:b/>
                <w:bCs/>
                <w:sz w:val="20"/>
                <w:szCs w:val="20"/>
              </w:rPr>
              <w:t>c</w:t>
            </w:r>
          </w:p>
        </w:tc>
      </w:tr>
      <w:tr w:rsidR="004A28F1" w:rsidRPr="004A28F1" w14:paraId="289267F9" w14:textId="77777777" w:rsidTr="003043F1">
        <w:trPr>
          <w:gridAfter w:val="1"/>
          <w:wAfter w:w="8" w:type="dxa"/>
          <w:trHeight w:val="167"/>
        </w:trPr>
        <w:tc>
          <w:tcPr>
            <w:tcW w:w="1129" w:type="dxa"/>
            <w:vMerge/>
            <w:tcBorders>
              <w:left w:val="single" w:sz="4" w:space="0" w:color="auto"/>
              <w:bottom w:val="single" w:sz="4" w:space="0" w:color="auto"/>
              <w:right w:val="single" w:sz="4" w:space="0" w:color="auto"/>
            </w:tcBorders>
            <w:shd w:val="clear" w:color="auto" w:fill="auto"/>
            <w:noWrap/>
          </w:tcPr>
          <w:p w14:paraId="5D8D5DDD" w14:textId="77777777" w:rsidR="009811E1" w:rsidRPr="004A28F1" w:rsidRDefault="009811E1" w:rsidP="00592DA8">
            <w:pPr>
              <w:rPr>
                <w:rFonts w:ascii="Arial" w:hAnsi="Arial" w:cs="Arial"/>
                <w:sz w:val="20"/>
                <w:szCs w:val="20"/>
              </w:rPr>
            </w:pPr>
          </w:p>
        </w:tc>
        <w:tc>
          <w:tcPr>
            <w:tcW w:w="1638" w:type="dxa"/>
            <w:tcBorders>
              <w:top w:val="nil"/>
              <w:left w:val="nil"/>
              <w:bottom w:val="single" w:sz="4" w:space="0" w:color="auto"/>
              <w:right w:val="single" w:sz="4" w:space="0" w:color="auto"/>
            </w:tcBorders>
            <w:shd w:val="clear" w:color="auto" w:fill="auto"/>
            <w:noWrap/>
            <w:hideMark/>
          </w:tcPr>
          <w:p w14:paraId="1356CC11" w14:textId="77777777" w:rsidR="009811E1" w:rsidRPr="004A28F1" w:rsidRDefault="009811E1" w:rsidP="00592DA8">
            <w:pPr>
              <w:rPr>
                <w:rFonts w:ascii="Arial" w:hAnsi="Arial" w:cs="Arial"/>
                <w:sz w:val="20"/>
                <w:szCs w:val="20"/>
              </w:rPr>
            </w:pPr>
            <w:r w:rsidRPr="004A28F1">
              <w:rPr>
                <w:rFonts w:ascii="Arial" w:hAnsi="Arial" w:cs="Arial"/>
                <w:sz w:val="20"/>
                <w:szCs w:val="20"/>
              </w:rPr>
              <w:t>Transfer/sold</w:t>
            </w:r>
          </w:p>
        </w:tc>
        <w:tc>
          <w:tcPr>
            <w:tcW w:w="789" w:type="dxa"/>
            <w:gridSpan w:val="2"/>
            <w:tcBorders>
              <w:top w:val="nil"/>
              <w:left w:val="single" w:sz="4" w:space="0" w:color="auto"/>
              <w:bottom w:val="single" w:sz="4" w:space="0" w:color="auto"/>
              <w:right w:val="single" w:sz="4" w:space="0" w:color="auto"/>
            </w:tcBorders>
            <w:shd w:val="clear" w:color="auto" w:fill="auto"/>
          </w:tcPr>
          <w:p w14:paraId="03DF676B" w14:textId="77777777" w:rsidR="009811E1" w:rsidRPr="004A28F1" w:rsidRDefault="009811E1" w:rsidP="00592DA8">
            <w:pPr>
              <w:jc w:val="right"/>
              <w:rPr>
                <w:rFonts w:ascii="Arial" w:hAnsi="Arial" w:cs="Arial"/>
                <w:sz w:val="20"/>
                <w:szCs w:val="20"/>
              </w:rPr>
            </w:pPr>
            <w:r w:rsidRPr="004A28F1">
              <w:rPr>
                <w:rFonts w:ascii="Arial" w:hAnsi="Arial" w:cs="Arial"/>
                <w:sz w:val="20"/>
                <w:szCs w:val="20"/>
              </w:rPr>
              <w:t>54</w:t>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C8F330A" w14:textId="77777777" w:rsidR="009811E1" w:rsidRPr="004A28F1" w:rsidRDefault="009811E1" w:rsidP="00592DA8">
            <w:pPr>
              <w:jc w:val="right"/>
              <w:rPr>
                <w:rFonts w:ascii="Arial" w:hAnsi="Arial" w:cs="Arial"/>
                <w:sz w:val="20"/>
                <w:szCs w:val="20"/>
              </w:rPr>
            </w:pPr>
            <w:r w:rsidRPr="004A28F1">
              <w:rPr>
                <w:rFonts w:ascii="Arial" w:hAnsi="Arial" w:cs="Arial"/>
                <w:sz w:val="20"/>
                <w:szCs w:val="20"/>
              </w:rPr>
              <w:t xml:space="preserve">72,787 </w:t>
            </w:r>
          </w:p>
        </w:tc>
        <w:tc>
          <w:tcPr>
            <w:tcW w:w="246" w:type="dxa"/>
            <w:gridSpan w:val="2"/>
            <w:tcBorders>
              <w:top w:val="nil"/>
              <w:left w:val="nil"/>
              <w:bottom w:val="single" w:sz="4" w:space="0" w:color="auto"/>
              <w:right w:val="single" w:sz="4" w:space="0" w:color="FFFFFF" w:themeColor="background1"/>
            </w:tcBorders>
          </w:tcPr>
          <w:p w14:paraId="54748BC5" w14:textId="77777777" w:rsidR="009811E1" w:rsidRPr="004A28F1" w:rsidRDefault="009811E1" w:rsidP="00592DA8">
            <w:pPr>
              <w:ind w:hanging="45"/>
              <w:jc w:val="right"/>
              <w:rPr>
                <w:rFonts w:ascii="Arial" w:hAnsi="Arial" w:cs="Arial"/>
                <w:sz w:val="20"/>
                <w:szCs w:val="20"/>
              </w:rPr>
            </w:pPr>
          </w:p>
        </w:tc>
        <w:tc>
          <w:tcPr>
            <w:tcW w:w="1170" w:type="dxa"/>
            <w:gridSpan w:val="2"/>
            <w:tcBorders>
              <w:top w:val="nil"/>
              <w:left w:val="single" w:sz="4" w:space="0" w:color="FFFFFF" w:themeColor="background1"/>
              <w:bottom w:val="single" w:sz="4" w:space="0" w:color="auto"/>
              <w:right w:val="single" w:sz="4" w:space="0" w:color="auto"/>
            </w:tcBorders>
            <w:shd w:val="clear" w:color="auto" w:fill="auto"/>
            <w:noWrap/>
            <w:hideMark/>
          </w:tcPr>
          <w:p w14:paraId="0CA5BED5" w14:textId="09567288" w:rsidR="009811E1" w:rsidRPr="004A28F1" w:rsidRDefault="009811E1" w:rsidP="00592DA8">
            <w:pPr>
              <w:jc w:val="right"/>
              <w:rPr>
                <w:rFonts w:ascii="Arial" w:hAnsi="Arial" w:cs="Arial"/>
                <w:sz w:val="20"/>
                <w:szCs w:val="20"/>
              </w:rPr>
            </w:pPr>
            <w:r w:rsidRPr="004A28F1">
              <w:rPr>
                <w:rFonts w:ascii="Arial" w:hAnsi="Arial" w:cs="Arial"/>
                <w:sz w:val="20"/>
                <w:szCs w:val="20"/>
              </w:rPr>
              <w:t xml:space="preserve">54 </w:t>
            </w:r>
          </w:p>
        </w:tc>
        <w:tc>
          <w:tcPr>
            <w:tcW w:w="1185" w:type="dxa"/>
            <w:gridSpan w:val="2"/>
            <w:vMerge/>
            <w:tcBorders>
              <w:left w:val="single" w:sz="4" w:space="0" w:color="auto"/>
              <w:bottom w:val="single" w:sz="4" w:space="0" w:color="auto"/>
              <w:right w:val="single" w:sz="4" w:space="0" w:color="auto"/>
            </w:tcBorders>
          </w:tcPr>
          <w:p w14:paraId="4D96ADB2" w14:textId="77777777" w:rsidR="009811E1" w:rsidRPr="004A28F1" w:rsidRDefault="009811E1" w:rsidP="00592DA8">
            <w:pPr>
              <w:jc w:val="center"/>
              <w:rPr>
                <w:rFonts w:ascii="Arial" w:hAnsi="Arial" w:cs="Arial"/>
                <w:b/>
                <w:bCs/>
                <w:sz w:val="20"/>
                <w:szCs w:val="20"/>
              </w:rPr>
            </w:pPr>
          </w:p>
        </w:tc>
      </w:tr>
      <w:tr w:rsidR="004A28F1" w:rsidRPr="004A28F1" w14:paraId="64D6264C" w14:textId="77777777" w:rsidTr="003043F1">
        <w:trPr>
          <w:gridAfter w:val="1"/>
          <w:wAfter w:w="8" w:type="dxa"/>
          <w:trHeight w:val="167"/>
        </w:trPr>
        <w:tc>
          <w:tcPr>
            <w:tcW w:w="1129" w:type="dxa"/>
            <w:vMerge w:val="restart"/>
            <w:tcBorders>
              <w:top w:val="nil"/>
              <w:left w:val="single" w:sz="4" w:space="0" w:color="auto"/>
              <w:right w:val="single" w:sz="4" w:space="0" w:color="auto"/>
            </w:tcBorders>
            <w:shd w:val="clear" w:color="auto" w:fill="auto"/>
            <w:noWrap/>
            <w:hideMark/>
          </w:tcPr>
          <w:p w14:paraId="13AB7AED" w14:textId="77777777" w:rsidR="009811E1" w:rsidRPr="004A28F1" w:rsidRDefault="009811E1" w:rsidP="00592DA8">
            <w:pPr>
              <w:rPr>
                <w:rFonts w:ascii="Arial" w:hAnsi="Arial" w:cs="Arial"/>
                <w:sz w:val="20"/>
                <w:szCs w:val="20"/>
              </w:rPr>
            </w:pPr>
            <w:r w:rsidRPr="004A28F1">
              <w:rPr>
                <w:rFonts w:ascii="Arial" w:hAnsi="Arial" w:cs="Arial"/>
                <w:sz w:val="20"/>
                <w:szCs w:val="20"/>
              </w:rPr>
              <w:t>02/14/20</w:t>
            </w:r>
          </w:p>
        </w:tc>
        <w:tc>
          <w:tcPr>
            <w:tcW w:w="1638" w:type="dxa"/>
            <w:tcBorders>
              <w:top w:val="nil"/>
              <w:left w:val="nil"/>
              <w:bottom w:val="single" w:sz="4" w:space="0" w:color="auto"/>
              <w:right w:val="single" w:sz="4" w:space="0" w:color="auto"/>
            </w:tcBorders>
            <w:shd w:val="clear" w:color="auto" w:fill="auto"/>
            <w:noWrap/>
            <w:hideMark/>
          </w:tcPr>
          <w:p w14:paraId="349783CE" w14:textId="77777777" w:rsidR="009811E1" w:rsidRPr="004A28F1" w:rsidRDefault="009811E1" w:rsidP="00592DA8">
            <w:pPr>
              <w:rPr>
                <w:rFonts w:ascii="Arial" w:hAnsi="Arial" w:cs="Arial"/>
                <w:sz w:val="20"/>
                <w:szCs w:val="20"/>
              </w:rPr>
            </w:pPr>
            <w:r w:rsidRPr="004A28F1">
              <w:rPr>
                <w:rFonts w:ascii="Arial" w:hAnsi="Arial" w:cs="Arial"/>
                <w:sz w:val="20"/>
                <w:szCs w:val="20"/>
              </w:rPr>
              <w:t>Transfer/sold</w:t>
            </w:r>
          </w:p>
        </w:tc>
        <w:tc>
          <w:tcPr>
            <w:tcW w:w="789" w:type="dxa"/>
            <w:gridSpan w:val="2"/>
            <w:tcBorders>
              <w:top w:val="single" w:sz="4" w:space="0" w:color="auto"/>
              <w:left w:val="single" w:sz="4" w:space="0" w:color="auto"/>
              <w:bottom w:val="single" w:sz="4" w:space="0" w:color="auto"/>
              <w:right w:val="single" w:sz="4" w:space="0" w:color="auto"/>
            </w:tcBorders>
          </w:tcPr>
          <w:p w14:paraId="33A84809" w14:textId="77777777" w:rsidR="009811E1" w:rsidRPr="004A28F1" w:rsidRDefault="009811E1" w:rsidP="00592DA8">
            <w:pPr>
              <w:jc w:val="right"/>
              <w:rPr>
                <w:rFonts w:ascii="Arial" w:hAnsi="Arial" w:cs="Arial"/>
                <w:sz w:val="20"/>
                <w:szCs w:val="20"/>
              </w:rPr>
            </w:pPr>
            <w:r w:rsidRPr="004A28F1">
              <w:rPr>
                <w:rFonts w:ascii="Arial" w:hAnsi="Arial" w:cs="Arial"/>
                <w:sz w:val="20"/>
                <w:szCs w:val="20"/>
              </w:rPr>
              <w:t>2</w:t>
            </w:r>
          </w:p>
        </w:tc>
        <w:tc>
          <w:tcPr>
            <w:tcW w:w="1917" w:type="dxa"/>
            <w:gridSpan w:val="2"/>
            <w:tcBorders>
              <w:top w:val="nil"/>
              <w:left w:val="single" w:sz="4" w:space="0" w:color="auto"/>
              <w:bottom w:val="single" w:sz="4" w:space="0" w:color="auto"/>
              <w:right w:val="single" w:sz="4" w:space="0" w:color="auto"/>
            </w:tcBorders>
            <w:shd w:val="clear" w:color="auto" w:fill="auto"/>
            <w:noWrap/>
            <w:hideMark/>
          </w:tcPr>
          <w:p w14:paraId="59E03EB6" w14:textId="77777777" w:rsidR="009811E1" w:rsidRPr="004A28F1" w:rsidRDefault="009811E1" w:rsidP="00592DA8">
            <w:pPr>
              <w:jc w:val="right"/>
              <w:rPr>
                <w:rFonts w:ascii="Arial" w:hAnsi="Arial" w:cs="Arial"/>
                <w:sz w:val="20"/>
                <w:szCs w:val="20"/>
              </w:rPr>
            </w:pPr>
            <w:r w:rsidRPr="004A28F1">
              <w:rPr>
                <w:rFonts w:ascii="Arial" w:hAnsi="Arial" w:cs="Arial"/>
                <w:sz w:val="20"/>
                <w:szCs w:val="20"/>
              </w:rPr>
              <w:t xml:space="preserve">381,000 </w:t>
            </w:r>
          </w:p>
        </w:tc>
        <w:tc>
          <w:tcPr>
            <w:tcW w:w="246" w:type="dxa"/>
            <w:gridSpan w:val="2"/>
            <w:tcBorders>
              <w:top w:val="nil"/>
              <w:left w:val="nil"/>
              <w:bottom w:val="single" w:sz="4" w:space="0" w:color="auto"/>
              <w:right w:val="single" w:sz="4" w:space="0" w:color="FFFFFF" w:themeColor="background1"/>
            </w:tcBorders>
          </w:tcPr>
          <w:p w14:paraId="52E62B83" w14:textId="77777777" w:rsidR="009811E1" w:rsidRPr="004A28F1" w:rsidRDefault="009811E1" w:rsidP="00592DA8">
            <w:pPr>
              <w:ind w:hanging="45"/>
              <w:jc w:val="right"/>
              <w:rPr>
                <w:rFonts w:ascii="Arial" w:hAnsi="Arial" w:cs="Arial"/>
                <w:sz w:val="20"/>
                <w:szCs w:val="20"/>
              </w:rPr>
            </w:pPr>
          </w:p>
        </w:tc>
        <w:tc>
          <w:tcPr>
            <w:tcW w:w="1170" w:type="dxa"/>
            <w:gridSpan w:val="2"/>
            <w:tcBorders>
              <w:top w:val="nil"/>
              <w:left w:val="single" w:sz="4" w:space="0" w:color="FFFFFF" w:themeColor="background1"/>
              <w:bottom w:val="single" w:sz="4" w:space="0" w:color="auto"/>
              <w:right w:val="single" w:sz="4" w:space="0" w:color="auto"/>
            </w:tcBorders>
            <w:shd w:val="clear" w:color="auto" w:fill="auto"/>
            <w:noWrap/>
            <w:hideMark/>
          </w:tcPr>
          <w:p w14:paraId="0AD2A3DD" w14:textId="1622DF88" w:rsidR="009811E1" w:rsidRPr="004A28F1" w:rsidRDefault="009811E1" w:rsidP="00592DA8">
            <w:pPr>
              <w:jc w:val="right"/>
              <w:rPr>
                <w:rFonts w:ascii="Arial" w:hAnsi="Arial" w:cs="Arial"/>
                <w:sz w:val="20"/>
                <w:szCs w:val="20"/>
              </w:rPr>
            </w:pPr>
            <w:r w:rsidRPr="004A28F1">
              <w:rPr>
                <w:rFonts w:ascii="Arial" w:hAnsi="Arial" w:cs="Arial"/>
                <w:sz w:val="20"/>
                <w:szCs w:val="20"/>
              </w:rPr>
              <w:t xml:space="preserve">54,480 </w:t>
            </w:r>
          </w:p>
        </w:tc>
        <w:tc>
          <w:tcPr>
            <w:tcW w:w="1185" w:type="dxa"/>
            <w:gridSpan w:val="2"/>
            <w:tcBorders>
              <w:top w:val="nil"/>
              <w:left w:val="nil"/>
              <w:bottom w:val="single" w:sz="4" w:space="0" w:color="auto"/>
              <w:right w:val="single" w:sz="4" w:space="0" w:color="auto"/>
            </w:tcBorders>
          </w:tcPr>
          <w:p w14:paraId="4DE4FD4C" w14:textId="77777777" w:rsidR="009811E1" w:rsidRPr="004A28F1" w:rsidRDefault="009811E1" w:rsidP="00592DA8">
            <w:pPr>
              <w:jc w:val="center"/>
              <w:rPr>
                <w:rFonts w:ascii="Arial" w:hAnsi="Arial" w:cs="Arial"/>
                <w:b/>
                <w:bCs/>
                <w:sz w:val="20"/>
                <w:szCs w:val="20"/>
              </w:rPr>
            </w:pPr>
            <w:r w:rsidRPr="004A28F1">
              <w:rPr>
                <w:rFonts w:ascii="Arial" w:hAnsi="Arial" w:cs="Arial"/>
                <w:b/>
                <w:bCs/>
                <w:sz w:val="20"/>
                <w:szCs w:val="20"/>
              </w:rPr>
              <w:t>d</w:t>
            </w:r>
          </w:p>
        </w:tc>
      </w:tr>
      <w:tr w:rsidR="004A28F1" w:rsidRPr="004A28F1" w14:paraId="43BF77FE" w14:textId="77777777" w:rsidTr="003043F1">
        <w:trPr>
          <w:gridAfter w:val="1"/>
          <w:wAfter w:w="8" w:type="dxa"/>
          <w:trHeight w:val="167"/>
        </w:trPr>
        <w:tc>
          <w:tcPr>
            <w:tcW w:w="1129" w:type="dxa"/>
            <w:vMerge/>
            <w:tcBorders>
              <w:left w:val="single" w:sz="4" w:space="0" w:color="auto"/>
              <w:right w:val="single" w:sz="4" w:space="0" w:color="auto"/>
            </w:tcBorders>
            <w:shd w:val="clear" w:color="auto" w:fill="auto"/>
            <w:noWrap/>
          </w:tcPr>
          <w:p w14:paraId="06881BB6" w14:textId="77777777" w:rsidR="009811E1" w:rsidRPr="004A28F1" w:rsidRDefault="009811E1" w:rsidP="00592DA8">
            <w:pPr>
              <w:rPr>
                <w:rFonts w:ascii="Arial" w:hAnsi="Arial" w:cs="Arial"/>
                <w:sz w:val="20"/>
                <w:szCs w:val="20"/>
              </w:rPr>
            </w:pPr>
          </w:p>
        </w:tc>
        <w:tc>
          <w:tcPr>
            <w:tcW w:w="1638" w:type="dxa"/>
            <w:tcBorders>
              <w:top w:val="nil"/>
              <w:left w:val="nil"/>
              <w:bottom w:val="single" w:sz="4" w:space="0" w:color="auto"/>
              <w:right w:val="single" w:sz="4" w:space="0" w:color="auto"/>
            </w:tcBorders>
            <w:shd w:val="clear" w:color="auto" w:fill="auto"/>
            <w:noWrap/>
            <w:hideMark/>
          </w:tcPr>
          <w:p w14:paraId="2E9BD063" w14:textId="77777777" w:rsidR="009811E1" w:rsidRPr="004A28F1" w:rsidRDefault="009811E1" w:rsidP="00592DA8">
            <w:pPr>
              <w:rPr>
                <w:rFonts w:ascii="Arial" w:hAnsi="Arial" w:cs="Arial"/>
                <w:sz w:val="20"/>
                <w:szCs w:val="20"/>
              </w:rPr>
            </w:pPr>
            <w:r w:rsidRPr="004A28F1">
              <w:rPr>
                <w:rFonts w:ascii="Arial" w:hAnsi="Arial" w:cs="Arial"/>
                <w:sz w:val="20"/>
                <w:szCs w:val="20"/>
              </w:rPr>
              <w:t>Transfer/sold</w:t>
            </w:r>
          </w:p>
        </w:tc>
        <w:tc>
          <w:tcPr>
            <w:tcW w:w="789" w:type="dxa"/>
            <w:gridSpan w:val="2"/>
            <w:tcBorders>
              <w:top w:val="single" w:sz="4" w:space="0" w:color="auto"/>
              <w:left w:val="single" w:sz="4" w:space="0" w:color="auto"/>
              <w:bottom w:val="single" w:sz="4" w:space="0" w:color="auto"/>
              <w:right w:val="single" w:sz="4" w:space="0" w:color="auto"/>
            </w:tcBorders>
          </w:tcPr>
          <w:p w14:paraId="2A963371" w14:textId="77777777" w:rsidR="009811E1" w:rsidRPr="004A28F1" w:rsidRDefault="009811E1" w:rsidP="00592DA8">
            <w:pPr>
              <w:jc w:val="right"/>
              <w:rPr>
                <w:rFonts w:ascii="Arial" w:hAnsi="Arial" w:cs="Arial"/>
                <w:sz w:val="20"/>
                <w:szCs w:val="20"/>
              </w:rPr>
            </w:pPr>
            <w:r w:rsidRPr="004A28F1">
              <w:rPr>
                <w:rFonts w:ascii="Arial" w:hAnsi="Arial" w:cs="Arial"/>
                <w:sz w:val="20"/>
                <w:szCs w:val="20"/>
              </w:rPr>
              <w:t>3</w:t>
            </w:r>
          </w:p>
        </w:tc>
        <w:tc>
          <w:tcPr>
            <w:tcW w:w="1917" w:type="dxa"/>
            <w:gridSpan w:val="2"/>
            <w:tcBorders>
              <w:top w:val="nil"/>
              <w:left w:val="single" w:sz="4" w:space="0" w:color="auto"/>
              <w:bottom w:val="nil"/>
              <w:right w:val="nil"/>
            </w:tcBorders>
            <w:shd w:val="clear" w:color="auto" w:fill="auto"/>
            <w:noWrap/>
            <w:hideMark/>
          </w:tcPr>
          <w:p w14:paraId="5F4048D8" w14:textId="77777777" w:rsidR="009811E1" w:rsidRPr="004A28F1" w:rsidRDefault="009811E1" w:rsidP="00592DA8">
            <w:pPr>
              <w:jc w:val="right"/>
              <w:rPr>
                <w:rFonts w:ascii="Arial" w:hAnsi="Arial" w:cs="Arial"/>
                <w:sz w:val="20"/>
                <w:szCs w:val="20"/>
              </w:rPr>
            </w:pPr>
            <w:r w:rsidRPr="004A28F1">
              <w:rPr>
                <w:rFonts w:ascii="Arial" w:hAnsi="Arial" w:cs="Arial"/>
                <w:sz w:val="20"/>
                <w:szCs w:val="20"/>
              </w:rPr>
              <w:t xml:space="preserve">396,231 </w:t>
            </w:r>
          </w:p>
        </w:tc>
        <w:tc>
          <w:tcPr>
            <w:tcW w:w="246" w:type="dxa"/>
            <w:gridSpan w:val="2"/>
            <w:tcBorders>
              <w:top w:val="nil"/>
              <w:left w:val="single" w:sz="4" w:space="0" w:color="auto"/>
              <w:bottom w:val="single" w:sz="4" w:space="0" w:color="auto"/>
              <w:right w:val="single" w:sz="4" w:space="0" w:color="FFFFFF" w:themeColor="background1"/>
            </w:tcBorders>
          </w:tcPr>
          <w:p w14:paraId="63CD86AC" w14:textId="77777777" w:rsidR="009811E1" w:rsidRPr="004A28F1" w:rsidRDefault="009811E1" w:rsidP="00592DA8">
            <w:pPr>
              <w:ind w:hanging="45"/>
              <w:jc w:val="right"/>
              <w:rPr>
                <w:rFonts w:ascii="Arial" w:hAnsi="Arial" w:cs="Arial"/>
                <w:sz w:val="20"/>
                <w:szCs w:val="20"/>
              </w:rPr>
            </w:pPr>
          </w:p>
        </w:tc>
        <w:tc>
          <w:tcPr>
            <w:tcW w:w="1170" w:type="dxa"/>
            <w:gridSpan w:val="2"/>
            <w:tcBorders>
              <w:top w:val="nil"/>
              <w:left w:val="single" w:sz="4" w:space="0" w:color="FFFFFF" w:themeColor="background1"/>
              <w:bottom w:val="single" w:sz="4" w:space="0" w:color="auto"/>
              <w:right w:val="single" w:sz="4" w:space="0" w:color="auto"/>
            </w:tcBorders>
            <w:shd w:val="clear" w:color="auto" w:fill="auto"/>
            <w:noWrap/>
            <w:hideMark/>
          </w:tcPr>
          <w:p w14:paraId="40377BA8" w14:textId="632028E3" w:rsidR="009811E1" w:rsidRPr="004A28F1" w:rsidRDefault="009811E1" w:rsidP="00592DA8">
            <w:pPr>
              <w:jc w:val="right"/>
              <w:rPr>
                <w:rFonts w:ascii="Arial" w:hAnsi="Arial" w:cs="Arial"/>
                <w:sz w:val="20"/>
                <w:szCs w:val="20"/>
              </w:rPr>
            </w:pPr>
            <w:r w:rsidRPr="004A28F1">
              <w:rPr>
                <w:rFonts w:ascii="Arial" w:hAnsi="Arial" w:cs="Arial"/>
                <w:sz w:val="20"/>
                <w:szCs w:val="20"/>
              </w:rPr>
              <w:t xml:space="preserve">167,597 </w:t>
            </w:r>
          </w:p>
        </w:tc>
        <w:tc>
          <w:tcPr>
            <w:tcW w:w="1185" w:type="dxa"/>
            <w:gridSpan w:val="2"/>
            <w:tcBorders>
              <w:top w:val="nil"/>
              <w:left w:val="single" w:sz="4" w:space="0" w:color="auto"/>
              <w:bottom w:val="single" w:sz="4" w:space="0" w:color="auto"/>
              <w:right w:val="single" w:sz="4" w:space="0" w:color="auto"/>
            </w:tcBorders>
          </w:tcPr>
          <w:p w14:paraId="2B8FB92B" w14:textId="77777777" w:rsidR="009811E1" w:rsidRPr="004A28F1" w:rsidRDefault="009811E1" w:rsidP="00592DA8">
            <w:pPr>
              <w:jc w:val="center"/>
              <w:rPr>
                <w:rFonts w:ascii="Arial" w:hAnsi="Arial" w:cs="Arial"/>
                <w:b/>
                <w:bCs/>
                <w:sz w:val="20"/>
                <w:szCs w:val="20"/>
              </w:rPr>
            </w:pPr>
            <w:r w:rsidRPr="004A28F1">
              <w:rPr>
                <w:rFonts w:ascii="Arial" w:hAnsi="Arial" w:cs="Arial"/>
                <w:b/>
                <w:bCs/>
                <w:sz w:val="20"/>
                <w:szCs w:val="20"/>
              </w:rPr>
              <w:t>e</w:t>
            </w:r>
          </w:p>
        </w:tc>
      </w:tr>
      <w:tr w:rsidR="004A28F1" w:rsidRPr="004A28F1" w14:paraId="005ECCC7" w14:textId="77777777" w:rsidTr="00592DA8">
        <w:trPr>
          <w:gridAfter w:val="1"/>
          <w:wAfter w:w="8" w:type="dxa"/>
          <w:trHeight w:val="141"/>
        </w:trPr>
        <w:tc>
          <w:tcPr>
            <w:tcW w:w="1129" w:type="dxa"/>
            <w:vMerge/>
            <w:tcBorders>
              <w:left w:val="single" w:sz="4" w:space="0" w:color="auto"/>
              <w:bottom w:val="single" w:sz="4" w:space="0" w:color="auto"/>
              <w:right w:val="single" w:sz="4" w:space="0" w:color="auto"/>
            </w:tcBorders>
            <w:shd w:val="clear" w:color="auto" w:fill="auto"/>
            <w:noWrap/>
          </w:tcPr>
          <w:p w14:paraId="236B2F28" w14:textId="77777777" w:rsidR="009811E1" w:rsidRPr="004A28F1" w:rsidRDefault="009811E1" w:rsidP="00592DA8">
            <w:pPr>
              <w:rPr>
                <w:rFonts w:ascii="Arial" w:hAnsi="Arial" w:cs="Arial"/>
                <w:sz w:val="20"/>
                <w:szCs w:val="20"/>
              </w:rPr>
            </w:pPr>
          </w:p>
        </w:tc>
        <w:tc>
          <w:tcPr>
            <w:tcW w:w="1638" w:type="dxa"/>
            <w:tcBorders>
              <w:top w:val="nil"/>
              <w:left w:val="nil"/>
              <w:bottom w:val="single" w:sz="4" w:space="0" w:color="auto"/>
              <w:right w:val="single" w:sz="4" w:space="0" w:color="auto"/>
            </w:tcBorders>
            <w:shd w:val="clear" w:color="auto" w:fill="auto"/>
            <w:noWrap/>
            <w:hideMark/>
          </w:tcPr>
          <w:p w14:paraId="61FCC9E0" w14:textId="77777777" w:rsidR="009811E1" w:rsidRPr="004A28F1" w:rsidRDefault="009811E1" w:rsidP="00592DA8">
            <w:pPr>
              <w:rPr>
                <w:rFonts w:ascii="Arial" w:hAnsi="Arial" w:cs="Arial"/>
                <w:sz w:val="20"/>
                <w:szCs w:val="20"/>
              </w:rPr>
            </w:pPr>
            <w:r w:rsidRPr="004A28F1">
              <w:rPr>
                <w:rFonts w:ascii="Arial" w:hAnsi="Arial" w:cs="Arial"/>
                <w:sz w:val="20"/>
                <w:szCs w:val="20"/>
              </w:rPr>
              <w:t>Transfer/sold</w:t>
            </w:r>
          </w:p>
        </w:tc>
        <w:tc>
          <w:tcPr>
            <w:tcW w:w="789" w:type="dxa"/>
            <w:gridSpan w:val="2"/>
            <w:tcBorders>
              <w:top w:val="single" w:sz="4" w:space="0" w:color="auto"/>
              <w:left w:val="single" w:sz="4" w:space="0" w:color="auto"/>
              <w:bottom w:val="single" w:sz="4" w:space="0" w:color="auto"/>
              <w:right w:val="single" w:sz="4" w:space="0" w:color="auto"/>
            </w:tcBorders>
          </w:tcPr>
          <w:p w14:paraId="39D986FE" w14:textId="77777777" w:rsidR="009811E1" w:rsidRPr="004A28F1" w:rsidRDefault="009811E1" w:rsidP="00592DA8">
            <w:pPr>
              <w:jc w:val="right"/>
              <w:rPr>
                <w:rFonts w:ascii="Arial" w:hAnsi="Arial" w:cs="Arial"/>
                <w:sz w:val="20"/>
                <w:szCs w:val="20"/>
              </w:rPr>
            </w:pPr>
            <w:r w:rsidRPr="004A28F1">
              <w:rPr>
                <w:rFonts w:ascii="Arial" w:hAnsi="Arial" w:cs="Arial"/>
                <w:sz w:val="20"/>
                <w:szCs w:val="20"/>
              </w:rPr>
              <w:t>122</w:t>
            </w:r>
          </w:p>
        </w:tc>
        <w:tc>
          <w:tcPr>
            <w:tcW w:w="1917"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14:paraId="691C9856" w14:textId="77777777" w:rsidR="009811E1" w:rsidRPr="004A28F1" w:rsidRDefault="009811E1" w:rsidP="00592DA8">
            <w:pPr>
              <w:jc w:val="right"/>
              <w:rPr>
                <w:rFonts w:ascii="Arial" w:hAnsi="Arial" w:cs="Arial"/>
                <w:sz w:val="20"/>
                <w:szCs w:val="20"/>
              </w:rPr>
            </w:pPr>
            <w:r w:rsidRPr="004A28F1">
              <w:rPr>
                <w:rFonts w:ascii="Arial" w:hAnsi="Arial" w:cs="Arial"/>
                <w:sz w:val="20"/>
                <w:szCs w:val="20"/>
              </w:rPr>
              <w:t xml:space="preserve">3,291,533 </w:t>
            </w:r>
          </w:p>
        </w:tc>
        <w:tc>
          <w:tcPr>
            <w:tcW w:w="246" w:type="dxa"/>
            <w:gridSpan w:val="2"/>
            <w:tcBorders>
              <w:top w:val="nil"/>
              <w:left w:val="single" w:sz="4" w:space="0" w:color="auto"/>
              <w:bottom w:val="single" w:sz="4" w:space="0" w:color="000000"/>
              <w:right w:val="single" w:sz="4" w:space="0" w:color="FFFFFF" w:themeColor="background1"/>
            </w:tcBorders>
          </w:tcPr>
          <w:p w14:paraId="47A626E2" w14:textId="77777777" w:rsidR="009811E1" w:rsidRPr="004A28F1" w:rsidRDefault="009811E1" w:rsidP="00592DA8">
            <w:pPr>
              <w:ind w:hanging="45"/>
              <w:jc w:val="right"/>
              <w:rPr>
                <w:rFonts w:ascii="Arial" w:hAnsi="Arial" w:cs="Arial"/>
                <w:sz w:val="20"/>
                <w:szCs w:val="20"/>
              </w:rPr>
            </w:pPr>
          </w:p>
        </w:tc>
        <w:tc>
          <w:tcPr>
            <w:tcW w:w="1170" w:type="dxa"/>
            <w:gridSpan w:val="2"/>
            <w:tcBorders>
              <w:top w:val="nil"/>
              <w:left w:val="single" w:sz="4" w:space="0" w:color="FFFFFF" w:themeColor="background1"/>
              <w:bottom w:val="single" w:sz="4" w:space="0" w:color="000000"/>
              <w:right w:val="single" w:sz="4" w:space="0" w:color="auto"/>
            </w:tcBorders>
            <w:shd w:val="clear" w:color="auto" w:fill="auto"/>
            <w:noWrap/>
            <w:hideMark/>
          </w:tcPr>
          <w:p w14:paraId="090D01D3" w14:textId="5EB45823" w:rsidR="009811E1" w:rsidRPr="004A28F1" w:rsidRDefault="009811E1" w:rsidP="00592DA8">
            <w:pPr>
              <w:jc w:val="right"/>
              <w:rPr>
                <w:rFonts w:ascii="Arial" w:hAnsi="Arial" w:cs="Arial"/>
                <w:sz w:val="20"/>
                <w:szCs w:val="20"/>
              </w:rPr>
            </w:pPr>
            <w:r w:rsidRPr="004A28F1">
              <w:rPr>
                <w:rFonts w:ascii="Arial" w:hAnsi="Arial" w:cs="Arial"/>
                <w:sz w:val="20"/>
                <w:szCs w:val="20"/>
              </w:rPr>
              <w:t xml:space="preserve">308,341 </w:t>
            </w:r>
          </w:p>
        </w:tc>
        <w:tc>
          <w:tcPr>
            <w:tcW w:w="1185" w:type="dxa"/>
            <w:gridSpan w:val="2"/>
            <w:tcBorders>
              <w:top w:val="nil"/>
              <w:left w:val="single" w:sz="4" w:space="0" w:color="auto"/>
              <w:bottom w:val="single" w:sz="4" w:space="0" w:color="000000"/>
              <w:right w:val="single" w:sz="4" w:space="0" w:color="auto"/>
            </w:tcBorders>
          </w:tcPr>
          <w:p w14:paraId="530BA251" w14:textId="77777777" w:rsidR="009811E1" w:rsidRPr="004A28F1" w:rsidRDefault="009811E1" w:rsidP="00592DA8">
            <w:pPr>
              <w:jc w:val="center"/>
              <w:rPr>
                <w:rFonts w:ascii="Arial" w:hAnsi="Arial" w:cs="Arial"/>
                <w:b/>
                <w:bCs/>
                <w:sz w:val="20"/>
                <w:szCs w:val="20"/>
              </w:rPr>
            </w:pPr>
            <w:r w:rsidRPr="004A28F1">
              <w:rPr>
                <w:rFonts w:ascii="Arial" w:hAnsi="Arial" w:cs="Arial"/>
                <w:b/>
                <w:bCs/>
                <w:sz w:val="20"/>
                <w:szCs w:val="20"/>
              </w:rPr>
              <w:t>f</w:t>
            </w:r>
          </w:p>
        </w:tc>
      </w:tr>
      <w:tr w:rsidR="004A28F1" w:rsidRPr="004A28F1" w14:paraId="74345F31" w14:textId="77777777" w:rsidTr="003043F1">
        <w:trPr>
          <w:trHeight w:val="178"/>
        </w:trPr>
        <w:tc>
          <w:tcPr>
            <w:tcW w:w="278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FE2AF7B" w14:textId="77777777" w:rsidR="009811E1" w:rsidRPr="004A28F1" w:rsidRDefault="009811E1" w:rsidP="00592DA8">
            <w:pPr>
              <w:jc w:val="center"/>
              <w:rPr>
                <w:rFonts w:ascii="Arial" w:hAnsi="Arial" w:cs="Arial"/>
                <w:b/>
                <w:bCs/>
                <w:sz w:val="20"/>
                <w:szCs w:val="20"/>
              </w:rPr>
            </w:pPr>
            <w:r w:rsidRPr="004A28F1">
              <w:rPr>
                <w:rFonts w:ascii="Arial" w:hAnsi="Arial" w:cs="Arial"/>
                <w:b/>
                <w:bCs/>
                <w:sz w:val="20"/>
                <w:szCs w:val="20"/>
              </w:rPr>
              <w:t>TOTAL</w:t>
            </w:r>
          </w:p>
        </w:tc>
        <w:tc>
          <w:tcPr>
            <w:tcW w:w="789" w:type="dxa"/>
            <w:gridSpan w:val="2"/>
            <w:tcBorders>
              <w:top w:val="single" w:sz="4" w:space="0" w:color="auto"/>
              <w:left w:val="single" w:sz="4" w:space="0" w:color="auto"/>
              <w:bottom w:val="single" w:sz="4" w:space="0" w:color="auto"/>
              <w:right w:val="single" w:sz="4" w:space="0" w:color="auto"/>
            </w:tcBorders>
          </w:tcPr>
          <w:p w14:paraId="4672DC93" w14:textId="77777777" w:rsidR="009811E1" w:rsidRPr="004A28F1" w:rsidRDefault="009811E1" w:rsidP="00592DA8">
            <w:pPr>
              <w:jc w:val="right"/>
              <w:rPr>
                <w:rFonts w:ascii="Arial" w:hAnsi="Arial" w:cs="Arial"/>
                <w:b/>
                <w:bCs/>
                <w:sz w:val="20"/>
                <w:szCs w:val="20"/>
              </w:rPr>
            </w:pPr>
            <w:r w:rsidRPr="004A28F1">
              <w:rPr>
                <w:rFonts w:ascii="Arial" w:hAnsi="Arial" w:cs="Arial"/>
                <w:b/>
                <w:bCs/>
                <w:sz w:val="20"/>
                <w:szCs w:val="20"/>
              </w:rPr>
              <w:t>204</w:t>
            </w:r>
          </w:p>
        </w:tc>
        <w:tc>
          <w:tcPr>
            <w:tcW w:w="1917" w:type="dxa"/>
            <w:gridSpan w:val="2"/>
            <w:tcBorders>
              <w:top w:val="nil"/>
              <w:left w:val="single" w:sz="4" w:space="0" w:color="auto"/>
              <w:bottom w:val="single" w:sz="4" w:space="0" w:color="auto"/>
              <w:right w:val="single" w:sz="4" w:space="0" w:color="auto"/>
            </w:tcBorders>
            <w:shd w:val="clear" w:color="auto" w:fill="auto"/>
            <w:noWrap/>
            <w:hideMark/>
          </w:tcPr>
          <w:p w14:paraId="3F84C1ED" w14:textId="1B732542" w:rsidR="009811E1" w:rsidRPr="004A28F1" w:rsidRDefault="009811E1" w:rsidP="00592DA8">
            <w:pPr>
              <w:tabs>
                <w:tab w:val="right" w:pos="1347"/>
              </w:tabs>
              <w:jc w:val="right"/>
              <w:rPr>
                <w:rFonts w:ascii="Arial" w:hAnsi="Arial" w:cs="Arial"/>
                <w:b/>
                <w:bCs/>
                <w:sz w:val="20"/>
                <w:szCs w:val="20"/>
              </w:rPr>
            </w:pPr>
            <w:r w:rsidRPr="004A28F1">
              <w:rPr>
                <w:rFonts w:ascii="Arial" w:hAnsi="Arial" w:cs="Arial"/>
                <w:b/>
                <w:bCs/>
                <w:sz w:val="20"/>
                <w:szCs w:val="20"/>
              </w:rPr>
              <w:t xml:space="preserve">         9,333,520 </w:t>
            </w:r>
          </w:p>
        </w:tc>
        <w:tc>
          <w:tcPr>
            <w:tcW w:w="246" w:type="dxa"/>
            <w:gridSpan w:val="2"/>
            <w:tcBorders>
              <w:top w:val="nil"/>
              <w:left w:val="nil"/>
              <w:bottom w:val="single" w:sz="4" w:space="0" w:color="auto"/>
              <w:right w:val="single" w:sz="4" w:space="0" w:color="FFFFFF" w:themeColor="background1"/>
            </w:tcBorders>
          </w:tcPr>
          <w:p w14:paraId="2F59A5C9" w14:textId="40EB492E" w:rsidR="009811E1" w:rsidRPr="004A28F1" w:rsidRDefault="009811E1" w:rsidP="00592DA8">
            <w:pPr>
              <w:ind w:hanging="45"/>
              <w:rPr>
                <w:rFonts w:ascii="Arial" w:hAnsi="Arial" w:cs="Arial"/>
                <w:b/>
                <w:bCs/>
                <w:sz w:val="20"/>
                <w:szCs w:val="20"/>
              </w:rPr>
            </w:pPr>
          </w:p>
        </w:tc>
        <w:tc>
          <w:tcPr>
            <w:tcW w:w="1170" w:type="dxa"/>
            <w:gridSpan w:val="2"/>
            <w:tcBorders>
              <w:top w:val="nil"/>
              <w:left w:val="single" w:sz="4" w:space="0" w:color="FFFFFF" w:themeColor="background1"/>
              <w:bottom w:val="single" w:sz="4" w:space="0" w:color="auto"/>
              <w:right w:val="single" w:sz="4" w:space="0" w:color="auto"/>
            </w:tcBorders>
            <w:shd w:val="clear" w:color="auto" w:fill="auto"/>
            <w:noWrap/>
            <w:hideMark/>
          </w:tcPr>
          <w:p w14:paraId="631088B9" w14:textId="7D624D76" w:rsidR="009811E1" w:rsidRPr="004A28F1" w:rsidRDefault="009811E1" w:rsidP="00592DA8">
            <w:pPr>
              <w:jc w:val="right"/>
              <w:rPr>
                <w:rFonts w:ascii="Arial" w:hAnsi="Arial" w:cs="Arial"/>
                <w:b/>
                <w:bCs/>
                <w:sz w:val="20"/>
                <w:szCs w:val="20"/>
              </w:rPr>
            </w:pPr>
            <w:r w:rsidRPr="004A28F1">
              <w:rPr>
                <w:rFonts w:ascii="Arial" w:hAnsi="Arial" w:cs="Arial"/>
                <w:b/>
                <w:bCs/>
                <w:sz w:val="20"/>
                <w:szCs w:val="20"/>
              </w:rPr>
              <w:t xml:space="preserve">543,737 </w:t>
            </w:r>
          </w:p>
        </w:tc>
        <w:tc>
          <w:tcPr>
            <w:tcW w:w="1177" w:type="dxa"/>
            <w:gridSpan w:val="2"/>
            <w:tcBorders>
              <w:top w:val="nil"/>
              <w:left w:val="nil"/>
              <w:bottom w:val="single" w:sz="4" w:space="0" w:color="auto"/>
              <w:right w:val="single" w:sz="4" w:space="0" w:color="auto"/>
            </w:tcBorders>
          </w:tcPr>
          <w:p w14:paraId="0C5A0311" w14:textId="77777777" w:rsidR="009811E1" w:rsidRPr="004A28F1" w:rsidRDefault="009811E1" w:rsidP="00592DA8">
            <w:pPr>
              <w:jc w:val="center"/>
              <w:rPr>
                <w:rFonts w:ascii="Arial" w:hAnsi="Arial" w:cs="Arial"/>
                <w:b/>
                <w:bCs/>
                <w:sz w:val="20"/>
                <w:szCs w:val="20"/>
              </w:rPr>
            </w:pPr>
          </w:p>
        </w:tc>
      </w:tr>
    </w:tbl>
    <w:p w14:paraId="7A04F828" w14:textId="77777777" w:rsidR="00CD3DAA" w:rsidRPr="004A28F1" w:rsidRDefault="00CD3DAA" w:rsidP="0085093C">
      <w:pPr>
        <w:shd w:val="clear" w:color="auto" w:fill="FFFFFF"/>
        <w:tabs>
          <w:tab w:val="left" w:pos="232"/>
        </w:tabs>
        <w:jc w:val="both"/>
        <w:rPr>
          <w:rFonts w:ascii="Arial" w:hAnsi="Arial" w:cs="Arial"/>
          <w:bCs/>
          <w:sz w:val="22"/>
          <w:szCs w:val="22"/>
        </w:rPr>
      </w:pPr>
    </w:p>
    <w:p w14:paraId="793D3E01" w14:textId="031CB514" w:rsidR="00283C50" w:rsidRPr="004A28F1" w:rsidRDefault="00283C50" w:rsidP="00446B02">
      <w:pPr>
        <w:tabs>
          <w:tab w:val="left" w:pos="0"/>
        </w:tabs>
        <w:spacing w:after="20"/>
        <w:jc w:val="both"/>
        <w:rPr>
          <w:rFonts w:ascii="Arial" w:hAnsi="Arial" w:cs="Arial"/>
          <w:sz w:val="22"/>
          <w:szCs w:val="22"/>
        </w:rPr>
      </w:pPr>
    </w:p>
    <w:p w14:paraId="3E472DCD" w14:textId="77777777" w:rsidR="00446B02" w:rsidRPr="004A28F1" w:rsidRDefault="00446B02" w:rsidP="0085093C">
      <w:pPr>
        <w:pStyle w:val="ListParagraph"/>
        <w:tabs>
          <w:tab w:val="left" w:pos="0"/>
        </w:tabs>
        <w:spacing w:after="20"/>
        <w:jc w:val="both"/>
        <w:rPr>
          <w:rFonts w:ascii="Arial" w:hAnsi="Arial" w:cs="Arial"/>
          <w:sz w:val="22"/>
          <w:szCs w:val="22"/>
        </w:rPr>
      </w:pPr>
    </w:p>
    <w:p w14:paraId="4945FB7A" w14:textId="4B5BB786" w:rsidR="00C76F7D" w:rsidRPr="004A28F1" w:rsidRDefault="004E1C29" w:rsidP="0085093C">
      <w:pPr>
        <w:pStyle w:val="ListParagraph"/>
        <w:tabs>
          <w:tab w:val="left" w:pos="0"/>
        </w:tabs>
        <w:spacing w:after="20"/>
        <w:jc w:val="both"/>
        <w:rPr>
          <w:rFonts w:ascii="Arial" w:hAnsi="Arial" w:cs="Arial"/>
          <w:sz w:val="22"/>
          <w:szCs w:val="22"/>
        </w:rPr>
      </w:pPr>
      <w:r w:rsidRPr="004A28F1">
        <w:rPr>
          <w:rFonts w:ascii="Arial" w:hAnsi="Arial" w:cs="Arial"/>
          <w:sz w:val="22"/>
          <w:szCs w:val="22"/>
        </w:rPr>
        <w:t xml:space="preserve">Relative to the derecognition of properties </w:t>
      </w:r>
      <w:r w:rsidR="006D6A90" w:rsidRPr="004A28F1">
        <w:rPr>
          <w:rFonts w:ascii="Arial" w:hAnsi="Arial" w:cs="Arial"/>
          <w:sz w:val="22"/>
          <w:szCs w:val="22"/>
        </w:rPr>
        <w:t>with incomplete documentation</w:t>
      </w:r>
      <w:r w:rsidRPr="004A28F1">
        <w:rPr>
          <w:rFonts w:ascii="Arial" w:hAnsi="Arial" w:cs="Arial"/>
          <w:sz w:val="22"/>
          <w:szCs w:val="22"/>
        </w:rPr>
        <w:t xml:space="preserve">, </w:t>
      </w:r>
      <w:r w:rsidR="00C76F7D" w:rsidRPr="004A28F1">
        <w:rPr>
          <w:rFonts w:ascii="Arial" w:hAnsi="Arial" w:cs="Arial"/>
          <w:sz w:val="22"/>
          <w:szCs w:val="22"/>
        </w:rPr>
        <w:t>Management provided the following information:</w:t>
      </w:r>
    </w:p>
    <w:p w14:paraId="1CCD5343" w14:textId="77777777" w:rsidR="00C76F7D" w:rsidRPr="004A28F1" w:rsidRDefault="00C76F7D" w:rsidP="00C76F7D">
      <w:pPr>
        <w:pStyle w:val="ListParagraph"/>
        <w:shd w:val="clear" w:color="auto" w:fill="FFFFFF"/>
        <w:ind w:left="0"/>
        <w:jc w:val="both"/>
        <w:rPr>
          <w:rFonts w:ascii="Arial" w:hAnsi="Arial" w:cs="Arial"/>
          <w:bCs/>
          <w:sz w:val="22"/>
          <w:szCs w:val="22"/>
        </w:rPr>
      </w:pPr>
    </w:p>
    <w:p w14:paraId="0BFFDFF3" w14:textId="0E331EA4" w:rsidR="00C76F7D" w:rsidRPr="004A28F1" w:rsidRDefault="00C76F7D" w:rsidP="0085093C">
      <w:pPr>
        <w:pStyle w:val="Title"/>
        <w:numPr>
          <w:ilvl w:val="1"/>
          <w:numId w:val="32"/>
        </w:numPr>
        <w:ind w:left="1350" w:hanging="630"/>
        <w:jc w:val="both"/>
        <w:rPr>
          <w:b w:val="0"/>
        </w:rPr>
      </w:pPr>
      <w:r w:rsidRPr="004A28F1">
        <w:rPr>
          <w:b w:val="0"/>
        </w:rPr>
        <w:t>Three units of ATMs found in the premises of OFB Center.</w:t>
      </w:r>
    </w:p>
    <w:p w14:paraId="723F2000" w14:textId="62634A85" w:rsidR="00C76F7D" w:rsidRPr="004A28F1" w:rsidRDefault="00C76F7D" w:rsidP="0085093C">
      <w:pPr>
        <w:pStyle w:val="Title"/>
        <w:numPr>
          <w:ilvl w:val="1"/>
          <w:numId w:val="32"/>
        </w:numPr>
        <w:ind w:left="1350" w:hanging="630"/>
        <w:jc w:val="both"/>
        <w:rPr>
          <w:b w:val="0"/>
        </w:rPr>
      </w:pPr>
      <w:r w:rsidRPr="004A28F1">
        <w:rPr>
          <w:b w:val="0"/>
        </w:rPr>
        <w:t xml:space="preserve">Three units of ATMs reported as </w:t>
      </w:r>
      <w:r w:rsidR="008B6F84" w:rsidRPr="004A28F1">
        <w:rPr>
          <w:b w:val="0"/>
        </w:rPr>
        <w:t>m</w:t>
      </w:r>
      <w:r w:rsidRPr="004A28F1">
        <w:rPr>
          <w:b w:val="0"/>
        </w:rPr>
        <w:t>issing/</w:t>
      </w:r>
      <w:r w:rsidR="008B6F84" w:rsidRPr="004A28F1">
        <w:rPr>
          <w:b w:val="0"/>
        </w:rPr>
        <w:t>n</w:t>
      </w:r>
      <w:r w:rsidRPr="004A28F1">
        <w:rPr>
          <w:b w:val="0"/>
        </w:rPr>
        <w:t>on-</w:t>
      </w:r>
      <w:r w:rsidR="008B6F84" w:rsidRPr="004A28F1">
        <w:rPr>
          <w:b w:val="0"/>
        </w:rPr>
        <w:t>e</w:t>
      </w:r>
      <w:r w:rsidRPr="004A28F1">
        <w:rPr>
          <w:b w:val="0"/>
        </w:rPr>
        <w:t>xisting as of February 15, 2023.</w:t>
      </w:r>
    </w:p>
    <w:p w14:paraId="7ABB9F13" w14:textId="50D31FD5" w:rsidR="00C76F7D" w:rsidRPr="004A28F1" w:rsidRDefault="004E1C29" w:rsidP="0085093C">
      <w:pPr>
        <w:pStyle w:val="Title"/>
        <w:numPr>
          <w:ilvl w:val="1"/>
          <w:numId w:val="32"/>
        </w:numPr>
        <w:ind w:left="1350" w:hanging="630"/>
        <w:jc w:val="both"/>
        <w:rPr>
          <w:b w:val="0"/>
        </w:rPr>
      </w:pPr>
      <w:r w:rsidRPr="004A28F1">
        <w:rPr>
          <w:b w:val="0"/>
        </w:rPr>
        <w:t>V</w:t>
      </w:r>
      <w:r w:rsidR="00C76F7D" w:rsidRPr="004A28F1">
        <w:rPr>
          <w:b w:val="0"/>
        </w:rPr>
        <w:t xml:space="preserve">arious </w:t>
      </w:r>
      <w:r w:rsidRPr="004A28F1">
        <w:rPr>
          <w:b w:val="0"/>
        </w:rPr>
        <w:t>properties</w:t>
      </w:r>
      <w:r w:rsidR="00C76F7D" w:rsidRPr="004A28F1">
        <w:rPr>
          <w:b w:val="0"/>
        </w:rPr>
        <w:t xml:space="preserve"> from provincial branches approved </w:t>
      </w:r>
      <w:r w:rsidRPr="004A28F1">
        <w:rPr>
          <w:b w:val="0"/>
        </w:rPr>
        <w:t xml:space="preserve">for disposal </w:t>
      </w:r>
      <w:r w:rsidR="00C76F7D" w:rsidRPr="004A28F1">
        <w:rPr>
          <w:b w:val="0"/>
        </w:rPr>
        <w:t xml:space="preserve">by Board Resolution 2019-138 dated November 27, 2019. However, </w:t>
      </w:r>
      <w:r w:rsidRPr="004A28F1">
        <w:rPr>
          <w:b w:val="0"/>
        </w:rPr>
        <w:t xml:space="preserve">the </w:t>
      </w:r>
      <w:r w:rsidR="00C76F7D" w:rsidRPr="004A28F1">
        <w:rPr>
          <w:b w:val="0"/>
        </w:rPr>
        <w:t xml:space="preserve">derecognition </w:t>
      </w:r>
      <w:r w:rsidRPr="004A28F1">
        <w:rPr>
          <w:b w:val="0"/>
        </w:rPr>
        <w:t xml:space="preserve">of said properties </w:t>
      </w:r>
      <w:r w:rsidR="00C76F7D" w:rsidRPr="004A28F1">
        <w:rPr>
          <w:b w:val="0"/>
        </w:rPr>
        <w:t>w</w:t>
      </w:r>
      <w:r w:rsidRPr="004A28F1">
        <w:rPr>
          <w:b w:val="0"/>
        </w:rPr>
        <w:t>as</w:t>
      </w:r>
      <w:r w:rsidR="00C76F7D" w:rsidRPr="004A28F1">
        <w:rPr>
          <w:b w:val="0"/>
        </w:rPr>
        <w:t xml:space="preserve"> not supported with relevant documents.</w:t>
      </w:r>
    </w:p>
    <w:p w14:paraId="0AD29E82" w14:textId="5A2B22F0" w:rsidR="00C76F7D" w:rsidRPr="004A28F1" w:rsidRDefault="00C76F7D" w:rsidP="0085093C">
      <w:pPr>
        <w:pStyle w:val="Title"/>
        <w:numPr>
          <w:ilvl w:val="1"/>
          <w:numId w:val="32"/>
        </w:numPr>
        <w:ind w:left="1350" w:hanging="630"/>
        <w:jc w:val="both"/>
        <w:rPr>
          <w:b w:val="0"/>
        </w:rPr>
      </w:pPr>
      <w:r w:rsidRPr="004A28F1">
        <w:rPr>
          <w:b w:val="0"/>
        </w:rPr>
        <w:t xml:space="preserve">Two units of </w:t>
      </w:r>
      <w:r w:rsidR="004E1C29" w:rsidRPr="004A28F1">
        <w:rPr>
          <w:b w:val="0"/>
        </w:rPr>
        <w:t>f</w:t>
      </w:r>
      <w:r w:rsidRPr="004A28F1">
        <w:rPr>
          <w:b w:val="0"/>
        </w:rPr>
        <w:t xml:space="preserve">urniture and </w:t>
      </w:r>
      <w:r w:rsidR="004E1C29" w:rsidRPr="004A28F1">
        <w:rPr>
          <w:b w:val="0"/>
        </w:rPr>
        <w:t>f</w:t>
      </w:r>
      <w:r w:rsidRPr="004A28F1">
        <w:rPr>
          <w:b w:val="0"/>
        </w:rPr>
        <w:t xml:space="preserve">ixture </w:t>
      </w:r>
      <w:r w:rsidR="004E1C29" w:rsidRPr="004A28F1">
        <w:rPr>
          <w:b w:val="0"/>
        </w:rPr>
        <w:t xml:space="preserve">are </w:t>
      </w:r>
      <w:r w:rsidRPr="004A28F1">
        <w:rPr>
          <w:b w:val="0"/>
        </w:rPr>
        <w:t>found in the premises of OFB Center.</w:t>
      </w:r>
    </w:p>
    <w:p w14:paraId="4D17856B" w14:textId="4AC8634B" w:rsidR="00C76F7D" w:rsidRPr="004A28F1" w:rsidRDefault="00C76F7D" w:rsidP="0085093C">
      <w:pPr>
        <w:pStyle w:val="Title"/>
        <w:numPr>
          <w:ilvl w:val="1"/>
          <w:numId w:val="32"/>
        </w:numPr>
        <w:ind w:left="1350" w:hanging="630"/>
        <w:jc w:val="both"/>
        <w:rPr>
          <w:b w:val="0"/>
        </w:rPr>
      </w:pPr>
      <w:r w:rsidRPr="004A28F1">
        <w:rPr>
          <w:b w:val="0"/>
        </w:rPr>
        <w:t xml:space="preserve">Three units of motor vehicles </w:t>
      </w:r>
      <w:r w:rsidR="004E1C29" w:rsidRPr="004A28F1">
        <w:rPr>
          <w:b w:val="0"/>
        </w:rPr>
        <w:t xml:space="preserve">for disposal and </w:t>
      </w:r>
      <w:r w:rsidRPr="004A28F1">
        <w:rPr>
          <w:b w:val="0"/>
        </w:rPr>
        <w:t>safekept in LBP Branches.</w:t>
      </w:r>
    </w:p>
    <w:p w14:paraId="1A662973" w14:textId="56648354" w:rsidR="00C76F7D" w:rsidRPr="004A28F1" w:rsidRDefault="00C76F7D" w:rsidP="0085093C">
      <w:pPr>
        <w:pStyle w:val="Title"/>
        <w:numPr>
          <w:ilvl w:val="1"/>
          <w:numId w:val="32"/>
        </w:numPr>
        <w:ind w:left="1350" w:hanging="630"/>
        <w:jc w:val="both"/>
        <w:rPr>
          <w:b w:val="0"/>
        </w:rPr>
      </w:pPr>
      <w:r w:rsidRPr="004A28F1">
        <w:rPr>
          <w:b w:val="0"/>
        </w:rPr>
        <w:t xml:space="preserve">Various </w:t>
      </w:r>
      <w:r w:rsidR="004E1C29" w:rsidRPr="004A28F1">
        <w:rPr>
          <w:b w:val="0"/>
        </w:rPr>
        <w:t xml:space="preserve">properties </w:t>
      </w:r>
      <w:r w:rsidRPr="004A28F1">
        <w:rPr>
          <w:b w:val="0"/>
        </w:rPr>
        <w:t xml:space="preserve">reported as </w:t>
      </w:r>
      <w:r w:rsidR="004E1C29" w:rsidRPr="004A28F1">
        <w:rPr>
          <w:b w:val="0"/>
        </w:rPr>
        <w:t>m</w:t>
      </w:r>
      <w:r w:rsidRPr="004A28F1">
        <w:rPr>
          <w:b w:val="0"/>
        </w:rPr>
        <w:t>issing/</w:t>
      </w:r>
      <w:r w:rsidR="004E1C29" w:rsidRPr="004A28F1">
        <w:rPr>
          <w:b w:val="0"/>
        </w:rPr>
        <w:t>n</w:t>
      </w:r>
      <w:r w:rsidRPr="004A28F1">
        <w:rPr>
          <w:b w:val="0"/>
        </w:rPr>
        <w:t xml:space="preserve">on-Existing as of February 15, 2023. </w:t>
      </w:r>
    </w:p>
    <w:p w14:paraId="15BD8261" w14:textId="77777777" w:rsidR="00C76F7D" w:rsidRPr="004A28F1" w:rsidRDefault="00C76F7D" w:rsidP="0085093C">
      <w:pPr>
        <w:spacing w:after="20"/>
        <w:ind w:right="29"/>
        <w:jc w:val="both"/>
        <w:rPr>
          <w:rFonts w:ascii="Arial" w:hAnsi="Arial" w:cs="Arial"/>
          <w:bCs/>
          <w:sz w:val="22"/>
          <w:szCs w:val="22"/>
        </w:rPr>
      </w:pPr>
    </w:p>
    <w:p w14:paraId="0D9F74FC" w14:textId="5C938FD8" w:rsidR="00551856" w:rsidRPr="004A28F1" w:rsidRDefault="00551856" w:rsidP="00551856">
      <w:pPr>
        <w:spacing w:after="20"/>
        <w:ind w:left="720" w:right="29"/>
        <w:jc w:val="both"/>
        <w:rPr>
          <w:rFonts w:ascii="Arial" w:hAnsi="Arial" w:cs="Arial"/>
          <w:bCs/>
          <w:sz w:val="22"/>
          <w:szCs w:val="22"/>
        </w:rPr>
      </w:pPr>
      <w:r w:rsidRPr="004A28F1">
        <w:rPr>
          <w:rFonts w:ascii="Arial" w:hAnsi="Arial" w:cs="Arial"/>
          <w:bCs/>
          <w:sz w:val="22"/>
          <w:szCs w:val="22"/>
        </w:rPr>
        <w:lastRenderedPageBreak/>
        <w:t>Management further informed that a physical inventory will be conducted anew. They are considering the one-time cleansing of properties pursuant to COA Circular No. 2020-006.</w:t>
      </w:r>
    </w:p>
    <w:p w14:paraId="3C648058" w14:textId="77777777" w:rsidR="00551856" w:rsidRPr="004A28F1" w:rsidRDefault="00551856" w:rsidP="00E2290C">
      <w:pPr>
        <w:spacing w:after="20"/>
        <w:ind w:left="720" w:right="29"/>
        <w:jc w:val="both"/>
        <w:rPr>
          <w:rFonts w:ascii="Arial" w:hAnsi="Arial" w:cs="Arial"/>
          <w:bCs/>
          <w:sz w:val="22"/>
          <w:szCs w:val="22"/>
        </w:rPr>
      </w:pPr>
    </w:p>
    <w:p w14:paraId="7D4D2DD1" w14:textId="0D333612" w:rsidR="004E1C29" w:rsidRPr="004A28F1" w:rsidRDefault="000D6202" w:rsidP="0085093C">
      <w:pPr>
        <w:pStyle w:val="ListParagraph"/>
        <w:tabs>
          <w:tab w:val="left" w:pos="0"/>
        </w:tabs>
        <w:spacing w:after="20"/>
        <w:ind w:left="0"/>
        <w:jc w:val="both"/>
        <w:rPr>
          <w:rFonts w:ascii="Arial" w:hAnsi="Arial" w:cs="Arial"/>
          <w:sz w:val="22"/>
          <w:szCs w:val="22"/>
        </w:rPr>
      </w:pPr>
      <w:r w:rsidRPr="004A28F1">
        <w:rPr>
          <w:rFonts w:ascii="Arial" w:hAnsi="Arial" w:cs="Arial"/>
          <w:bCs/>
          <w:sz w:val="22"/>
          <w:szCs w:val="22"/>
          <w:lang w:val="en-PH"/>
        </w:rPr>
        <w:t>1.6</w:t>
      </w:r>
      <w:r w:rsidRPr="004A28F1">
        <w:rPr>
          <w:rFonts w:ascii="Arial" w:hAnsi="Arial" w:cs="Arial"/>
          <w:bCs/>
          <w:sz w:val="22"/>
          <w:szCs w:val="22"/>
          <w:lang w:val="en-PH"/>
        </w:rPr>
        <w:tab/>
      </w:r>
      <w:r w:rsidR="00C76F7D" w:rsidRPr="004A28F1">
        <w:rPr>
          <w:rFonts w:ascii="Arial" w:hAnsi="Arial" w:cs="Arial"/>
          <w:bCs/>
          <w:sz w:val="22"/>
          <w:szCs w:val="22"/>
          <w:lang w:val="en-PH"/>
        </w:rPr>
        <w:t>In</w:t>
      </w:r>
      <w:r w:rsidR="00C76F7D" w:rsidRPr="004A28F1">
        <w:rPr>
          <w:rFonts w:ascii="Arial" w:hAnsi="Arial" w:cs="Arial"/>
          <w:sz w:val="22"/>
          <w:szCs w:val="22"/>
        </w:rPr>
        <w:t xml:space="preserve"> view of the</w:t>
      </w:r>
      <w:r w:rsidR="000204F7" w:rsidRPr="004A28F1">
        <w:rPr>
          <w:rFonts w:ascii="Arial" w:hAnsi="Arial" w:cs="Arial"/>
          <w:sz w:val="22"/>
          <w:szCs w:val="22"/>
        </w:rPr>
        <w:t xml:space="preserve"> </w:t>
      </w:r>
      <w:r w:rsidR="006748EA" w:rsidRPr="004A28F1">
        <w:rPr>
          <w:rFonts w:ascii="Arial" w:hAnsi="Arial" w:cs="Arial"/>
          <w:sz w:val="22"/>
          <w:szCs w:val="22"/>
        </w:rPr>
        <w:t xml:space="preserve">foregoing, the </w:t>
      </w:r>
      <w:r w:rsidR="00C76F7D" w:rsidRPr="004A28F1">
        <w:rPr>
          <w:rFonts w:ascii="Arial" w:hAnsi="Arial" w:cs="Arial"/>
          <w:sz w:val="22"/>
          <w:szCs w:val="22"/>
        </w:rPr>
        <w:t xml:space="preserve">faithful representation of the balance of the Bank’s Property and Equipment accounts amounting to </w:t>
      </w:r>
      <w:r w:rsidR="003B4D22" w:rsidRPr="004A28F1">
        <w:rPr>
          <w:rFonts w:ascii="Arial" w:hAnsi="Arial" w:cs="Arial"/>
          <w:sz w:val="22"/>
          <w:szCs w:val="22"/>
          <w:lang w:val="en-PH"/>
        </w:rPr>
        <w:t xml:space="preserve">P283.004 million </w:t>
      </w:r>
      <w:r w:rsidR="00C76F7D" w:rsidRPr="004A28F1">
        <w:rPr>
          <w:rFonts w:ascii="Arial" w:hAnsi="Arial" w:cs="Arial"/>
          <w:sz w:val="22"/>
          <w:szCs w:val="22"/>
        </w:rPr>
        <w:t>as at December 31, 2022</w:t>
      </w:r>
      <w:r w:rsidR="006748EA" w:rsidRPr="004A28F1">
        <w:rPr>
          <w:rFonts w:ascii="Arial" w:hAnsi="Arial" w:cs="Arial"/>
          <w:sz w:val="22"/>
          <w:szCs w:val="22"/>
        </w:rPr>
        <w:t xml:space="preserve"> was not established. </w:t>
      </w:r>
      <w:r w:rsidR="00C76F7D" w:rsidRPr="004A28F1">
        <w:rPr>
          <w:rFonts w:ascii="Arial" w:hAnsi="Arial" w:cs="Arial"/>
          <w:sz w:val="22"/>
          <w:szCs w:val="22"/>
        </w:rPr>
        <w:t xml:space="preserve"> </w:t>
      </w:r>
    </w:p>
    <w:p w14:paraId="7C850A2E" w14:textId="77777777" w:rsidR="004E1C29" w:rsidRPr="004A28F1" w:rsidRDefault="004E1C29" w:rsidP="0085093C">
      <w:pPr>
        <w:pStyle w:val="ListParagraph"/>
        <w:tabs>
          <w:tab w:val="left" w:pos="0"/>
        </w:tabs>
        <w:spacing w:after="20"/>
        <w:ind w:left="0"/>
        <w:jc w:val="both"/>
        <w:rPr>
          <w:rFonts w:ascii="Arial" w:hAnsi="Arial" w:cs="Arial"/>
          <w:sz w:val="22"/>
          <w:szCs w:val="22"/>
        </w:rPr>
      </w:pPr>
    </w:p>
    <w:p w14:paraId="4D09038D" w14:textId="00AE0B96" w:rsidR="0030054C" w:rsidRPr="004A28F1" w:rsidRDefault="000D6202" w:rsidP="0085093C">
      <w:pPr>
        <w:pStyle w:val="ListParagraph"/>
        <w:tabs>
          <w:tab w:val="left" w:pos="0"/>
        </w:tabs>
        <w:spacing w:after="20"/>
        <w:ind w:left="0"/>
        <w:jc w:val="both"/>
        <w:rPr>
          <w:rFonts w:ascii="Arial" w:hAnsi="Arial" w:cs="Arial"/>
          <w:b/>
          <w:bCs/>
          <w:sz w:val="22"/>
          <w:szCs w:val="22"/>
        </w:rPr>
      </w:pPr>
      <w:r w:rsidRPr="004A28F1">
        <w:rPr>
          <w:rFonts w:ascii="Arial" w:hAnsi="Arial" w:cs="Arial"/>
          <w:b/>
          <w:bCs/>
          <w:sz w:val="22"/>
          <w:szCs w:val="22"/>
        </w:rPr>
        <w:t>1.7</w:t>
      </w:r>
      <w:r w:rsidRPr="004A28F1">
        <w:rPr>
          <w:rFonts w:ascii="Arial" w:hAnsi="Arial" w:cs="Arial"/>
          <w:b/>
          <w:bCs/>
          <w:sz w:val="22"/>
          <w:szCs w:val="22"/>
        </w:rPr>
        <w:tab/>
        <w:t>W</w:t>
      </w:r>
      <w:r w:rsidR="0030054C" w:rsidRPr="004A28F1">
        <w:rPr>
          <w:rFonts w:ascii="Arial" w:hAnsi="Arial" w:cs="Arial"/>
          <w:b/>
          <w:bCs/>
          <w:sz w:val="22"/>
          <w:szCs w:val="22"/>
        </w:rPr>
        <w:t>e recommended and Management agreed to:</w:t>
      </w:r>
    </w:p>
    <w:p w14:paraId="6D487093" w14:textId="77777777" w:rsidR="00CD3DAA" w:rsidRPr="004A28F1" w:rsidRDefault="00CD3DAA" w:rsidP="0085093C">
      <w:pPr>
        <w:pStyle w:val="ListParagraph"/>
        <w:spacing w:before="40"/>
        <w:ind w:left="851"/>
        <w:jc w:val="both"/>
        <w:rPr>
          <w:rFonts w:ascii="Arial" w:hAnsi="Arial" w:cs="Arial"/>
          <w:b/>
          <w:sz w:val="22"/>
          <w:szCs w:val="22"/>
        </w:rPr>
      </w:pPr>
    </w:p>
    <w:p w14:paraId="71F0978A" w14:textId="43E83538" w:rsidR="00120E7A" w:rsidRPr="004A28F1" w:rsidRDefault="00CD3DAA" w:rsidP="0085093C">
      <w:pPr>
        <w:pStyle w:val="ListParagraph"/>
        <w:numPr>
          <w:ilvl w:val="0"/>
          <w:numId w:val="33"/>
        </w:numPr>
        <w:spacing w:before="40"/>
        <w:ind w:left="720" w:hanging="11"/>
        <w:jc w:val="both"/>
      </w:pPr>
      <w:r w:rsidRPr="004A28F1">
        <w:rPr>
          <w:rFonts w:ascii="Arial" w:hAnsi="Arial" w:cs="Arial"/>
          <w:b/>
          <w:sz w:val="22"/>
          <w:szCs w:val="22"/>
        </w:rPr>
        <w:t xml:space="preserve">Reconcile the </w:t>
      </w:r>
      <w:r w:rsidR="003B4D22" w:rsidRPr="004A28F1">
        <w:rPr>
          <w:rFonts w:ascii="Arial" w:hAnsi="Arial" w:cs="Arial"/>
          <w:b/>
          <w:sz w:val="22"/>
          <w:szCs w:val="22"/>
        </w:rPr>
        <w:t>variance in balances between the RPCPPE and</w:t>
      </w:r>
      <w:r w:rsidRPr="004A28F1">
        <w:rPr>
          <w:rFonts w:ascii="Arial" w:hAnsi="Arial" w:cs="Arial"/>
          <w:b/>
          <w:sz w:val="22"/>
          <w:szCs w:val="22"/>
        </w:rPr>
        <w:t xml:space="preserve"> the </w:t>
      </w:r>
      <w:r w:rsidR="00283C50" w:rsidRPr="004A28F1">
        <w:rPr>
          <w:rFonts w:ascii="Arial" w:hAnsi="Arial" w:cs="Arial"/>
          <w:b/>
          <w:sz w:val="22"/>
          <w:szCs w:val="22"/>
        </w:rPr>
        <w:t xml:space="preserve">accounting </w:t>
      </w:r>
      <w:r w:rsidR="0030054C" w:rsidRPr="004A28F1">
        <w:rPr>
          <w:rFonts w:ascii="Arial" w:hAnsi="Arial" w:cs="Arial"/>
          <w:b/>
          <w:sz w:val="22"/>
          <w:szCs w:val="22"/>
        </w:rPr>
        <w:t>books</w:t>
      </w:r>
      <w:r w:rsidRPr="004A28F1">
        <w:rPr>
          <w:rFonts w:ascii="Arial" w:hAnsi="Arial" w:cs="Arial"/>
          <w:b/>
          <w:sz w:val="22"/>
          <w:szCs w:val="22"/>
        </w:rPr>
        <w:t xml:space="preserve"> to establish </w:t>
      </w:r>
      <w:r w:rsidR="002365A3" w:rsidRPr="004A28F1">
        <w:rPr>
          <w:rFonts w:ascii="Arial" w:hAnsi="Arial" w:cs="Arial"/>
          <w:b/>
          <w:sz w:val="22"/>
          <w:szCs w:val="22"/>
        </w:rPr>
        <w:t xml:space="preserve">the </w:t>
      </w:r>
      <w:r w:rsidR="003B4D22" w:rsidRPr="004A28F1">
        <w:rPr>
          <w:rFonts w:ascii="Arial" w:hAnsi="Arial" w:cs="Arial"/>
          <w:b/>
          <w:sz w:val="22"/>
          <w:szCs w:val="22"/>
        </w:rPr>
        <w:t>existence of properties and propriety of recorded amounts;</w:t>
      </w:r>
      <w:r w:rsidR="00283C50" w:rsidRPr="004A28F1">
        <w:rPr>
          <w:rFonts w:ascii="Arial" w:hAnsi="Arial" w:cs="Arial"/>
          <w:b/>
          <w:sz w:val="22"/>
          <w:szCs w:val="22"/>
        </w:rPr>
        <w:t xml:space="preserve"> </w:t>
      </w:r>
    </w:p>
    <w:p w14:paraId="2CF75B70" w14:textId="77777777" w:rsidR="0030054C" w:rsidRPr="004A28F1" w:rsidRDefault="0030054C" w:rsidP="0085093C">
      <w:pPr>
        <w:pStyle w:val="ListParagraph"/>
        <w:spacing w:before="40"/>
        <w:ind w:left="851" w:hanging="11"/>
        <w:jc w:val="both"/>
        <w:rPr>
          <w:rFonts w:ascii="Arial" w:hAnsi="Arial" w:cs="Arial"/>
          <w:b/>
          <w:sz w:val="22"/>
          <w:szCs w:val="22"/>
        </w:rPr>
      </w:pPr>
    </w:p>
    <w:p w14:paraId="54E6D89F" w14:textId="31162ACC" w:rsidR="0030054C" w:rsidRPr="004A28F1" w:rsidRDefault="00CD3DAA" w:rsidP="0085093C">
      <w:pPr>
        <w:pStyle w:val="ListParagraph"/>
        <w:numPr>
          <w:ilvl w:val="0"/>
          <w:numId w:val="33"/>
        </w:numPr>
        <w:spacing w:before="40"/>
        <w:ind w:left="720" w:hanging="11"/>
        <w:jc w:val="both"/>
      </w:pPr>
      <w:r w:rsidRPr="004A28F1">
        <w:rPr>
          <w:rFonts w:ascii="Arial" w:hAnsi="Arial" w:cs="Arial"/>
          <w:b/>
          <w:sz w:val="22"/>
          <w:szCs w:val="22"/>
        </w:rPr>
        <w:t xml:space="preserve">Support the </w:t>
      </w:r>
      <w:r w:rsidR="004B6CAD" w:rsidRPr="004A28F1">
        <w:rPr>
          <w:rFonts w:ascii="Arial" w:hAnsi="Arial" w:cs="Arial"/>
          <w:b/>
          <w:sz w:val="22"/>
          <w:szCs w:val="22"/>
        </w:rPr>
        <w:t>derecognition</w:t>
      </w:r>
      <w:r w:rsidR="006748EA" w:rsidRPr="004A28F1">
        <w:rPr>
          <w:rFonts w:ascii="Arial" w:hAnsi="Arial" w:cs="Arial"/>
          <w:b/>
          <w:sz w:val="22"/>
          <w:szCs w:val="22"/>
        </w:rPr>
        <w:t xml:space="preserve"> of </w:t>
      </w:r>
      <w:r w:rsidR="004B6CAD" w:rsidRPr="004A28F1">
        <w:rPr>
          <w:rFonts w:ascii="Arial" w:hAnsi="Arial" w:cs="Arial"/>
          <w:b/>
          <w:sz w:val="22"/>
          <w:szCs w:val="22"/>
        </w:rPr>
        <w:t>FFE amounting to P9</w:t>
      </w:r>
      <w:r w:rsidR="006748EA" w:rsidRPr="004A28F1">
        <w:rPr>
          <w:rFonts w:ascii="Arial" w:hAnsi="Arial" w:cs="Arial"/>
          <w:b/>
          <w:sz w:val="22"/>
          <w:szCs w:val="22"/>
        </w:rPr>
        <w:t>.</w:t>
      </w:r>
      <w:r w:rsidR="004B6CAD" w:rsidRPr="004A28F1">
        <w:rPr>
          <w:rFonts w:ascii="Arial" w:hAnsi="Arial" w:cs="Arial"/>
          <w:b/>
          <w:sz w:val="22"/>
          <w:szCs w:val="22"/>
        </w:rPr>
        <w:t>333</w:t>
      </w:r>
      <w:r w:rsidR="006748EA" w:rsidRPr="004A28F1">
        <w:rPr>
          <w:rFonts w:ascii="Arial" w:hAnsi="Arial" w:cs="Arial"/>
          <w:b/>
          <w:sz w:val="22"/>
          <w:szCs w:val="22"/>
        </w:rPr>
        <w:t xml:space="preserve"> million with complete documents to establish the propriety of recorded amounts</w:t>
      </w:r>
      <w:r w:rsidR="0030054C" w:rsidRPr="004A28F1">
        <w:rPr>
          <w:rFonts w:ascii="Arial" w:hAnsi="Arial" w:cs="Arial"/>
          <w:b/>
          <w:sz w:val="22"/>
          <w:szCs w:val="22"/>
        </w:rPr>
        <w:t>;</w:t>
      </w:r>
    </w:p>
    <w:p w14:paraId="60993C1B" w14:textId="77777777" w:rsidR="0030054C" w:rsidRPr="004A28F1" w:rsidRDefault="0030054C" w:rsidP="0085093C">
      <w:pPr>
        <w:pStyle w:val="ListParagraph"/>
        <w:spacing w:before="40"/>
        <w:ind w:left="851" w:hanging="11"/>
        <w:jc w:val="both"/>
        <w:rPr>
          <w:rFonts w:ascii="Arial" w:hAnsi="Arial" w:cs="Arial"/>
          <w:b/>
          <w:sz w:val="22"/>
          <w:szCs w:val="22"/>
        </w:rPr>
      </w:pPr>
    </w:p>
    <w:p w14:paraId="1D7BF80C" w14:textId="63EE85F2" w:rsidR="006748EA" w:rsidRPr="004A28F1" w:rsidRDefault="006748EA" w:rsidP="0085093C">
      <w:pPr>
        <w:pStyle w:val="ListParagraph"/>
        <w:numPr>
          <w:ilvl w:val="0"/>
          <w:numId w:val="33"/>
        </w:numPr>
        <w:spacing w:before="40"/>
        <w:ind w:left="720" w:hanging="11"/>
        <w:jc w:val="both"/>
        <w:rPr>
          <w:rFonts w:ascii="Arial" w:hAnsi="Arial" w:cs="Arial"/>
          <w:b/>
          <w:sz w:val="22"/>
          <w:szCs w:val="22"/>
        </w:rPr>
      </w:pPr>
      <w:r w:rsidRPr="004A28F1">
        <w:rPr>
          <w:rFonts w:ascii="Arial" w:hAnsi="Arial" w:cs="Arial"/>
          <w:b/>
          <w:sz w:val="22"/>
          <w:szCs w:val="22"/>
        </w:rPr>
        <w:t>Prepare the necessary adjusting entries to correct the balance of the Property and Equipment account in the financial statements as at December 31, 2022; and</w:t>
      </w:r>
    </w:p>
    <w:p w14:paraId="37E7AB8B" w14:textId="77777777" w:rsidR="006748EA" w:rsidRPr="004A28F1" w:rsidRDefault="006748EA" w:rsidP="00E2290C">
      <w:pPr>
        <w:pStyle w:val="ListParagraph"/>
        <w:rPr>
          <w:rFonts w:ascii="Arial" w:hAnsi="Arial" w:cs="Arial"/>
          <w:b/>
          <w:sz w:val="22"/>
          <w:szCs w:val="22"/>
        </w:rPr>
      </w:pPr>
    </w:p>
    <w:p w14:paraId="5D390253" w14:textId="4210E708" w:rsidR="00CD3DAA" w:rsidRPr="004A28F1" w:rsidRDefault="00CD3DAA" w:rsidP="0085093C">
      <w:pPr>
        <w:pStyle w:val="ListParagraph"/>
        <w:numPr>
          <w:ilvl w:val="0"/>
          <w:numId w:val="33"/>
        </w:numPr>
        <w:spacing w:before="40"/>
        <w:ind w:left="720" w:hanging="11"/>
        <w:jc w:val="both"/>
        <w:rPr>
          <w:rFonts w:ascii="Arial" w:hAnsi="Arial" w:cs="Arial"/>
          <w:b/>
          <w:sz w:val="22"/>
          <w:szCs w:val="22"/>
        </w:rPr>
      </w:pPr>
      <w:r w:rsidRPr="004A28F1">
        <w:rPr>
          <w:rFonts w:ascii="Arial" w:hAnsi="Arial" w:cs="Arial"/>
          <w:b/>
          <w:sz w:val="22"/>
          <w:szCs w:val="22"/>
        </w:rPr>
        <w:t xml:space="preserve">Consider one-time cleansing </w:t>
      </w:r>
      <w:r w:rsidR="00283C50" w:rsidRPr="004A28F1">
        <w:rPr>
          <w:rFonts w:ascii="Arial" w:hAnsi="Arial" w:cs="Arial"/>
          <w:b/>
          <w:sz w:val="22"/>
          <w:szCs w:val="22"/>
        </w:rPr>
        <w:t xml:space="preserve">of fixed assets </w:t>
      </w:r>
      <w:r w:rsidRPr="004A28F1">
        <w:rPr>
          <w:rFonts w:ascii="Arial" w:hAnsi="Arial" w:cs="Arial"/>
          <w:b/>
          <w:sz w:val="22"/>
          <w:szCs w:val="22"/>
        </w:rPr>
        <w:t>and perform the necessary procedures, including, among others, the disposition of non-existing/ missing properties</w:t>
      </w:r>
      <w:r w:rsidR="00283C50" w:rsidRPr="004A28F1">
        <w:rPr>
          <w:rFonts w:ascii="Arial" w:hAnsi="Arial" w:cs="Arial"/>
          <w:b/>
          <w:sz w:val="22"/>
          <w:szCs w:val="22"/>
        </w:rPr>
        <w:t>,</w:t>
      </w:r>
      <w:r w:rsidRPr="004A28F1">
        <w:rPr>
          <w:rFonts w:ascii="Arial" w:hAnsi="Arial" w:cs="Arial"/>
          <w:b/>
          <w:sz w:val="22"/>
          <w:szCs w:val="22"/>
        </w:rPr>
        <w:t xml:space="preserve"> pursuant to COA Circular </w:t>
      </w:r>
      <w:r w:rsidR="00283C50" w:rsidRPr="004A28F1">
        <w:rPr>
          <w:rFonts w:ascii="Arial" w:hAnsi="Arial" w:cs="Arial"/>
          <w:b/>
          <w:sz w:val="22"/>
          <w:szCs w:val="22"/>
        </w:rPr>
        <w:t>N</w:t>
      </w:r>
      <w:r w:rsidRPr="004A28F1">
        <w:rPr>
          <w:rFonts w:ascii="Arial" w:hAnsi="Arial" w:cs="Arial"/>
          <w:b/>
          <w:sz w:val="22"/>
          <w:szCs w:val="22"/>
        </w:rPr>
        <w:t>o. 2020-006 dated January 31, 2020.</w:t>
      </w:r>
    </w:p>
    <w:p w14:paraId="4E0C9C97" w14:textId="77777777" w:rsidR="00C76F7D" w:rsidRPr="004A28F1" w:rsidRDefault="00C76F7D" w:rsidP="00747A7B">
      <w:pPr>
        <w:pStyle w:val="Title"/>
        <w:tabs>
          <w:tab w:val="clear" w:pos="540"/>
          <w:tab w:val="clear" w:pos="6660"/>
        </w:tabs>
        <w:jc w:val="both"/>
      </w:pPr>
    </w:p>
    <w:p w14:paraId="6A0188DA" w14:textId="77777777" w:rsidR="00283C50" w:rsidRPr="004A28F1" w:rsidRDefault="00283C50" w:rsidP="00747A7B">
      <w:pPr>
        <w:pStyle w:val="Title"/>
        <w:tabs>
          <w:tab w:val="clear" w:pos="540"/>
          <w:tab w:val="clear" w:pos="6660"/>
        </w:tabs>
        <w:jc w:val="both"/>
      </w:pPr>
    </w:p>
    <w:p w14:paraId="2479C62A" w14:textId="36D08F05" w:rsidR="00DA08FA" w:rsidRPr="004A28F1" w:rsidRDefault="00CD3DAA" w:rsidP="00E2290C">
      <w:pPr>
        <w:pStyle w:val="NoSpacing1"/>
        <w:numPr>
          <w:ilvl w:val="0"/>
          <w:numId w:val="28"/>
        </w:numPr>
        <w:tabs>
          <w:tab w:val="left" w:pos="567"/>
        </w:tabs>
        <w:ind w:left="0" w:firstLine="0"/>
        <w:jc w:val="both"/>
        <w:rPr>
          <w:rFonts w:ascii="Arial" w:hAnsi="Arial" w:cs="Arial"/>
          <w:b/>
        </w:rPr>
      </w:pPr>
      <w:r w:rsidRPr="004A28F1">
        <w:rPr>
          <w:rFonts w:ascii="Arial" w:hAnsi="Arial" w:cs="Arial"/>
          <w:b/>
        </w:rPr>
        <w:t xml:space="preserve">Incorrect tax rate </w:t>
      </w:r>
      <w:r w:rsidR="00BC697C" w:rsidRPr="004A28F1">
        <w:rPr>
          <w:rFonts w:ascii="Arial" w:hAnsi="Arial" w:cs="Arial"/>
          <w:b/>
        </w:rPr>
        <w:t xml:space="preserve">of five per cent instead of seven per cent </w:t>
      </w:r>
      <w:r w:rsidR="003168E4" w:rsidRPr="004A28F1">
        <w:rPr>
          <w:rFonts w:ascii="Arial" w:hAnsi="Arial" w:cs="Arial"/>
          <w:b/>
        </w:rPr>
        <w:t xml:space="preserve">was </w:t>
      </w:r>
      <w:r w:rsidRPr="004A28F1">
        <w:rPr>
          <w:rFonts w:ascii="Arial" w:hAnsi="Arial" w:cs="Arial"/>
          <w:b/>
        </w:rPr>
        <w:t xml:space="preserve">used in the computation of the Bank’s gross receipts tax (GRT) for </w:t>
      </w:r>
      <w:r w:rsidR="006D6A90" w:rsidRPr="004A28F1">
        <w:rPr>
          <w:rFonts w:ascii="Arial" w:hAnsi="Arial" w:cs="Arial"/>
          <w:b/>
        </w:rPr>
        <w:t>calendar years</w:t>
      </w:r>
      <w:r w:rsidRPr="004A28F1">
        <w:rPr>
          <w:rFonts w:ascii="Arial" w:hAnsi="Arial" w:cs="Arial"/>
          <w:b/>
        </w:rPr>
        <w:t xml:space="preserve"> 202</w:t>
      </w:r>
      <w:r w:rsidR="00CA4A6F" w:rsidRPr="004A28F1">
        <w:rPr>
          <w:rFonts w:ascii="Arial" w:hAnsi="Arial" w:cs="Arial"/>
          <w:b/>
        </w:rPr>
        <w:t>2</w:t>
      </w:r>
      <w:r w:rsidRPr="004A28F1">
        <w:rPr>
          <w:rFonts w:ascii="Arial" w:hAnsi="Arial" w:cs="Arial"/>
          <w:b/>
        </w:rPr>
        <w:t xml:space="preserve"> and 202</w:t>
      </w:r>
      <w:r w:rsidR="00CA4A6F" w:rsidRPr="004A28F1">
        <w:rPr>
          <w:rFonts w:ascii="Arial" w:hAnsi="Arial" w:cs="Arial"/>
          <w:b/>
        </w:rPr>
        <w:t>1</w:t>
      </w:r>
      <w:r w:rsidRPr="004A28F1">
        <w:rPr>
          <w:rFonts w:ascii="Arial" w:hAnsi="Arial" w:cs="Arial"/>
          <w:b/>
        </w:rPr>
        <w:t xml:space="preserve">, contrary to Section 121 of the National Internal Revenue Code (NIRC) of 1997, as amended by RA </w:t>
      </w:r>
      <w:r w:rsidR="00592DA8" w:rsidRPr="004A28F1">
        <w:rPr>
          <w:rFonts w:ascii="Arial" w:hAnsi="Arial" w:cs="Arial"/>
          <w:b/>
        </w:rPr>
        <w:t xml:space="preserve">No. </w:t>
      </w:r>
      <w:r w:rsidRPr="004A28F1">
        <w:rPr>
          <w:rFonts w:ascii="Arial" w:hAnsi="Arial" w:cs="Arial"/>
          <w:b/>
        </w:rPr>
        <w:t xml:space="preserve">9337, resulting </w:t>
      </w:r>
      <w:r w:rsidR="00AF14D4" w:rsidRPr="004A28F1">
        <w:rPr>
          <w:rFonts w:ascii="Arial" w:hAnsi="Arial" w:cs="Arial"/>
          <w:b/>
        </w:rPr>
        <w:t xml:space="preserve">in </w:t>
      </w:r>
      <w:r w:rsidRPr="004A28F1">
        <w:rPr>
          <w:rFonts w:ascii="Arial" w:hAnsi="Arial" w:cs="Arial"/>
          <w:b/>
        </w:rPr>
        <w:t xml:space="preserve">under remittance of GRT </w:t>
      </w:r>
      <w:r w:rsidR="006D6A90" w:rsidRPr="004A28F1">
        <w:rPr>
          <w:rFonts w:ascii="Arial" w:hAnsi="Arial" w:cs="Arial"/>
          <w:b/>
        </w:rPr>
        <w:t>amounting</w:t>
      </w:r>
      <w:r w:rsidRPr="004A28F1">
        <w:rPr>
          <w:rFonts w:ascii="Arial" w:hAnsi="Arial" w:cs="Arial"/>
          <w:b/>
        </w:rPr>
        <w:t xml:space="preserve"> to P</w:t>
      </w:r>
      <w:r w:rsidR="004B6CAD" w:rsidRPr="004A28F1">
        <w:rPr>
          <w:rFonts w:ascii="Arial" w:hAnsi="Arial" w:cs="Arial"/>
          <w:b/>
        </w:rPr>
        <w:t>0.</w:t>
      </w:r>
      <w:r w:rsidRPr="004A28F1">
        <w:rPr>
          <w:rFonts w:ascii="Arial" w:hAnsi="Arial" w:cs="Arial"/>
          <w:b/>
        </w:rPr>
        <w:t>684</w:t>
      </w:r>
      <w:r w:rsidR="004B6CAD" w:rsidRPr="004A28F1">
        <w:rPr>
          <w:rFonts w:ascii="Arial" w:hAnsi="Arial" w:cs="Arial"/>
          <w:b/>
        </w:rPr>
        <w:t xml:space="preserve"> million.</w:t>
      </w:r>
    </w:p>
    <w:p w14:paraId="0F8E98E7" w14:textId="77777777" w:rsidR="00DA08FA" w:rsidRPr="004A28F1" w:rsidRDefault="00DA08FA" w:rsidP="00DA08FA">
      <w:pPr>
        <w:pStyle w:val="ListParagraph"/>
        <w:tabs>
          <w:tab w:val="left" w:pos="0"/>
        </w:tabs>
        <w:spacing w:after="20"/>
        <w:ind w:left="360"/>
        <w:jc w:val="both"/>
        <w:rPr>
          <w:rFonts w:ascii="Arial" w:hAnsi="Arial" w:cs="Arial"/>
          <w:b/>
          <w:sz w:val="22"/>
          <w:szCs w:val="22"/>
        </w:rPr>
      </w:pPr>
    </w:p>
    <w:p w14:paraId="56CFAB88" w14:textId="15D79BB7" w:rsidR="00CD3DAA" w:rsidRPr="004A28F1" w:rsidRDefault="00A955B8" w:rsidP="00E2290C">
      <w:pPr>
        <w:pStyle w:val="ListParagraph"/>
        <w:tabs>
          <w:tab w:val="left" w:pos="0"/>
          <w:tab w:val="left" w:pos="567"/>
        </w:tabs>
        <w:spacing w:after="20"/>
        <w:ind w:left="0"/>
        <w:jc w:val="both"/>
        <w:rPr>
          <w:rFonts w:ascii="Arial" w:hAnsi="Arial" w:cs="Arial"/>
          <w:b/>
          <w:sz w:val="22"/>
          <w:szCs w:val="22"/>
        </w:rPr>
      </w:pPr>
      <w:r w:rsidRPr="004A28F1">
        <w:rPr>
          <w:rFonts w:ascii="Arial" w:eastAsia="MS Mincho" w:hAnsi="Arial" w:cs="Arial"/>
          <w:iCs/>
          <w:sz w:val="22"/>
          <w:szCs w:val="22"/>
        </w:rPr>
        <w:t>2.1</w:t>
      </w:r>
      <w:r w:rsidRPr="004A28F1">
        <w:rPr>
          <w:rFonts w:ascii="Arial" w:eastAsia="MS Mincho" w:hAnsi="Arial" w:cs="Arial"/>
          <w:iCs/>
          <w:sz w:val="22"/>
          <w:szCs w:val="22"/>
        </w:rPr>
        <w:tab/>
      </w:r>
      <w:r w:rsidR="00CD3DAA" w:rsidRPr="004A28F1">
        <w:rPr>
          <w:rFonts w:ascii="Arial" w:eastAsia="MS Mincho" w:hAnsi="Arial" w:cs="Arial"/>
          <w:iCs/>
          <w:sz w:val="22"/>
          <w:szCs w:val="22"/>
        </w:rPr>
        <w:t>Section 121 of the NIRC of 1997, as amended, provide:</w:t>
      </w:r>
    </w:p>
    <w:p w14:paraId="77F45BBE" w14:textId="77777777" w:rsidR="00CD3DAA" w:rsidRPr="004A28F1" w:rsidRDefault="00CD3DAA" w:rsidP="00CD3DAA">
      <w:pPr>
        <w:pStyle w:val="ListParagraph"/>
        <w:shd w:val="clear" w:color="auto" w:fill="FFFFFF"/>
        <w:ind w:left="0"/>
        <w:jc w:val="both"/>
        <w:rPr>
          <w:rFonts w:ascii="Arial" w:eastAsia="MS Mincho" w:hAnsi="Arial" w:cs="Arial"/>
          <w:i/>
          <w:sz w:val="22"/>
          <w:szCs w:val="22"/>
        </w:rPr>
      </w:pPr>
    </w:p>
    <w:p w14:paraId="747071F8" w14:textId="0B7D710F" w:rsidR="00CD3DAA" w:rsidRPr="004A28F1" w:rsidRDefault="00CD3DAA">
      <w:pPr>
        <w:pStyle w:val="ListParagraph"/>
        <w:shd w:val="clear" w:color="auto" w:fill="FFFFFF"/>
        <w:tabs>
          <w:tab w:val="left" w:pos="567"/>
        </w:tabs>
        <w:ind w:left="567" w:right="524"/>
        <w:jc w:val="both"/>
        <w:rPr>
          <w:rFonts w:ascii="Arial" w:eastAsia="MS Mincho" w:hAnsi="Arial" w:cs="Arial"/>
          <w:i/>
          <w:sz w:val="22"/>
          <w:szCs w:val="22"/>
        </w:rPr>
      </w:pPr>
      <w:r w:rsidRPr="004A28F1">
        <w:rPr>
          <w:rFonts w:ascii="Arial" w:eastAsia="MS Mincho" w:hAnsi="Arial" w:cs="Arial"/>
          <w:i/>
          <w:sz w:val="22"/>
          <w:szCs w:val="22"/>
        </w:rPr>
        <w:t>Tax on Banks and Non-bank Financial Intermediaries. - There shall be collected a tax on gross receipts derived from sources within the Philippines by all banks and non-bank financial intermediaries in accordance with the following schedule:</w:t>
      </w:r>
    </w:p>
    <w:p w14:paraId="1FAA2693" w14:textId="77777777" w:rsidR="006D6A90" w:rsidRPr="004A28F1" w:rsidRDefault="006D6A90" w:rsidP="00E2290C">
      <w:pPr>
        <w:pStyle w:val="ListParagraph"/>
        <w:shd w:val="clear" w:color="auto" w:fill="FFFFFF"/>
        <w:tabs>
          <w:tab w:val="left" w:pos="567"/>
        </w:tabs>
        <w:ind w:left="567" w:right="524"/>
        <w:jc w:val="both"/>
        <w:rPr>
          <w:rFonts w:ascii="Arial" w:eastAsia="MS Mincho" w:hAnsi="Arial" w:cs="Arial"/>
          <w:i/>
          <w:sz w:val="22"/>
          <w:szCs w:val="22"/>
        </w:rPr>
      </w:pPr>
    </w:p>
    <w:p w14:paraId="18D1314E" w14:textId="77777777" w:rsidR="00CD3DAA" w:rsidRPr="004A28F1" w:rsidRDefault="00CD3DAA" w:rsidP="0085093C">
      <w:pPr>
        <w:pStyle w:val="ListParagraph"/>
        <w:numPr>
          <w:ilvl w:val="0"/>
          <w:numId w:val="26"/>
        </w:numPr>
        <w:shd w:val="clear" w:color="auto" w:fill="FFFFFF"/>
        <w:ind w:right="524" w:firstLine="0"/>
        <w:jc w:val="both"/>
        <w:rPr>
          <w:rFonts w:ascii="Arial" w:eastAsia="MS Mincho" w:hAnsi="Arial" w:cs="Arial"/>
          <w:i/>
          <w:sz w:val="22"/>
          <w:szCs w:val="22"/>
        </w:rPr>
      </w:pPr>
      <w:r w:rsidRPr="004A28F1">
        <w:rPr>
          <w:rFonts w:ascii="Arial" w:eastAsia="MS Mincho" w:hAnsi="Arial" w:cs="Arial"/>
          <w:i/>
          <w:sz w:val="22"/>
          <w:szCs w:val="22"/>
        </w:rPr>
        <w:t>Xxx</w:t>
      </w:r>
      <w:r w:rsidRPr="004A28F1" w:rsidDel="00DC0438">
        <w:rPr>
          <w:rFonts w:ascii="Arial" w:eastAsia="MS Mincho" w:hAnsi="Arial" w:cs="Arial"/>
          <w:i/>
          <w:sz w:val="22"/>
          <w:szCs w:val="22"/>
        </w:rPr>
        <w:t xml:space="preserve"> </w:t>
      </w:r>
    </w:p>
    <w:p w14:paraId="2C5D3AB4" w14:textId="77777777" w:rsidR="00CD3DAA" w:rsidRPr="004A28F1" w:rsidRDefault="00CD3DAA" w:rsidP="0085093C">
      <w:pPr>
        <w:pStyle w:val="ListParagraph"/>
        <w:numPr>
          <w:ilvl w:val="0"/>
          <w:numId w:val="26"/>
        </w:numPr>
        <w:shd w:val="clear" w:color="auto" w:fill="FFFFFF"/>
        <w:ind w:right="524" w:firstLine="0"/>
        <w:jc w:val="both"/>
        <w:rPr>
          <w:rFonts w:ascii="Arial" w:eastAsia="MS Mincho" w:hAnsi="Arial" w:cs="Arial"/>
          <w:i/>
          <w:sz w:val="22"/>
          <w:szCs w:val="22"/>
        </w:rPr>
      </w:pPr>
      <w:r w:rsidRPr="004A28F1">
        <w:rPr>
          <w:rFonts w:ascii="Arial" w:eastAsia="MS Mincho" w:hAnsi="Arial" w:cs="Arial"/>
          <w:i/>
          <w:sz w:val="22"/>
          <w:szCs w:val="22"/>
        </w:rPr>
        <w:t>Xxx</w:t>
      </w:r>
    </w:p>
    <w:p w14:paraId="0FA1DC2B" w14:textId="77777777" w:rsidR="00CD3DAA" w:rsidRPr="004A28F1" w:rsidRDefault="00CD3DAA" w:rsidP="0085093C">
      <w:pPr>
        <w:pStyle w:val="ListParagraph"/>
        <w:numPr>
          <w:ilvl w:val="0"/>
          <w:numId w:val="26"/>
        </w:numPr>
        <w:shd w:val="clear" w:color="auto" w:fill="FFFFFF"/>
        <w:ind w:right="524" w:firstLine="0"/>
        <w:jc w:val="both"/>
        <w:rPr>
          <w:rFonts w:ascii="Arial" w:eastAsia="MS Mincho" w:hAnsi="Arial" w:cs="Arial"/>
          <w:bCs/>
          <w:i/>
          <w:sz w:val="22"/>
          <w:szCs w:val="22"/>
        </w:rPr>
      </w:pPr>
      <w:r w:rsidRPr="004A28F1">
        <w:rPr>
          <w:rFonts w:ascii="Arial" w:eastAsia="MS Mincho" w:hAnsi="Arial" w:cs="Arial"/>
          <w:bCs/>
          <w:i/>
          <w:sz w:val="22"/>
          <w:szCs w:val="22"/>
        </w:rPr>
        <w:t>Royalties, rentals of property, real or personal, profits from exchange and all other items treated as gross income under Sec. 32 of the Tax Code, as amended - 7%</w:t>
      </w:r>
    </w:p>
    <w:p w14:paraId="2FEE2DF8" w14:textId="50B89DEF" w:rsidR="00C205E3" w:rsidRPr="004A28F1" w:rsidRDefault="00CD3DAA" w:rsidP="0085093C">
      <w:pPr>
        <w:pStyle w:val="ListParagraph"/>
        <w:numPr>
          <w:ilvl w:val="0"/>
          <w:numId w:val="26"/>
        </w:numPr>
        <w:shd w:val="clear" w:color="auto" w:fill="FFFFFF"/>
        <w:ind w:right="524" w:firstLine="0"/>
        <w:jc w:val="both"/>
        <w:rPr>
          <w:rFonts w:ascii="Arial" w:eastAsia="MS Mincho" w:hAnsi="Arial" w:cs="Arial"/>
          <w:bCs/>
          <w:i/>
          <w:sz w:val="22"/>
          <w:szCs w:val="22"/>
        </w:rPr>
      </w:pPr>
      <w:r w:rsidRPr="004A28F1">
        <w:rPr>
          <w:rFonts w:ascii="Arial" w:eastAsia="MS Mincho" w:hAnsi="Arial" w:cs="Arial"/>
          <w:bCs/>
          <w:i/>
          <w:sz w:val="22"/>
          <w:szCs w:val="22"/>
        </w:rPr>
        <w:t>Xxx</w:t>
      </w:r>
    </w:p>
    <w:p w14:paraId="43FBE538" w14:textId="77777777" w:rsidR="00CD3DAA" w:rsidRPr="004A28F1" w:rsidRDefault="00CD3DAA" w:rsidP="0085093C">
      <w:pPr>
        <w:pStyle w:val="ListParagraph"/>
        <w:shd w:val="clear" w:color="auto" w:fill="FFFFFF"/>
        <w:ind w:left="1080" w:right="524"/>
        <w:jc w:val="both"/>
        <w:rPr>
          <w:rFonts w:eastAsia="MS Mincho"/>
        </w:rPr>
      </w:pPr>
    </w:p>
    <w:p w14:paraId="31956538" w14:textId="5A979410" w:rsidR="00CD3DAA" w:rsidRPr="004A28F1" w:rsidRDefault="00A955B8" w:rsidP="00E2290C">
      <w:pPr>
        <w:pStyle w:val="ListParagraph"/>
        <w:tabs>
          <w:tab w:val="left" w:pos="0"/>
          <w:tab w:val="left" w:pos="567"/>
        </w:tabs>
        <w:spacing w:after="20"/>
        <w:ind w:left="0"/>
        <w:jc w:val="both"/>
        <w:rPr>
          <w:rFonts w:ascii="Arial" w:hAnsi="Arial" w:cs="Arial"/>
          <w:sz w:val="22"/>
          <w:szCs w:val="22"/>
        </w:rPr>
      </w:pPr>
      <w:r w:rsidRPr="004A28F1">
        <w:rPr>
          <w:rFonts w:ascii="Arial" w:hAnsi="Arial" w:cs="Arial"/>
          <w:sz w:val="22"/>
          <w:szCs w:val="22"/>
        </w:rPr>
        <w:t>2.2</w:t>
      </w:r>
      <w:r w:rsidRPr="004A28F1">
        <w:rPr>
          <w:rFonts w:ascii="Arial" w:hAnsi="Arial" w:cs="Arial"/>
          <w:sz w:val="22"/>
          <w:szCs w:val="22"/>
        </w:rPr>
        <w:tab/>
      </w:r>
      <w:r w:rsidR="00CD3DAA" w:rsidRPr="004A28F1">
        <w:rPr>
          <w:rFonts w:ascii="Arial" w:hAnsi="Arial" w:cs="Arial"/>
          <w:sz w:val="22"/>
          <w:szCs w:val="22"/>
        </w:rPr>
        <w:t>Gross Income as defined and enumerated under Sec. 32 of the N</w:t>
      </w:r>
      <w:r w:rsidR="003168E4" w:rsidRPr="004A28F1">
        <w:rPr>
          <w:rFonts w:ascii="Arial" w:hAnsi="Arial" w:cs="Arial"/>
          <w:sz w:val="22"/>
          <w:szCs w:val="22"/>
        </w:rPr>
        <w:t>IRC</w:t>
      </w:r>
      <w:r w:rsidR="00CD3DAA" w:rsidRPr="004A28F1">
        <w:rPr>
          <w:rFonts w:ascii="Arial" w:hAnsi="Arial" w:cs="Arial"/>
          <w:sz w:val="22"/>
          <w:szCs w:val="22"/>
        </w:rPr>
        <w:t xml:space="preserve"> of 1997: </w:t>
      </w:r>
      <w:r w:rsidR="00CD3DAA" w:rsidRPr="004A28F1">
        <w:rPr>
          <w:rFonts w:ascii="Arial" w:hAnsi="Arial" w:cs="Arial"/>
          <w:i/>
          <w:sz w:val="22"/>
          <w:szCs w:val="22"/>
        </w:rPr>
        <w:t xml:space="preserve">“SEC. 32. Gross Income: (A) General Definition. - Except when otherwise provided in this Title, gross income means all income derived from whatever source, including (but </w:t>
      </w:r>
      <w:r w:rsidR="00CD3DAA" w:rsidRPr="004A28F1">
        <w:rPr>
          <w:rFonts w:ascii="Arial" w:hAnsi="Arial" w:cs="Arial"/>
          <w:i/>
          <w:sz w:val="22"/>
          <w:szCs w:val="22"/>
        </w:rPr>
        <w:lastRenderedPageBreak/>
        <w:t xml:space="preserve">not limited to) the following items: </w:t>
      </w:r>
      <w:r w:rsidR="00CD3DAA" w:rsidRPr="004A28F1">
        <w:rPr>
          <w:rFonts w:ascii="Arial" w:eastAsia="MS Mincho" w:hAnsi="Arial" w:cs="Arial"/>
          <w:i/>
          <w:sz w:val="22"/>
          <w:szCs w:val="22"/>
        </w:rPr>
        <w:t xml:space="preserve">(1) Compensation for services in whatever form paid, including, but not limited to fees, salaries, wages, commissions, and similar items;(2)  X x x; (3)  Gains derived from dealings in property;(4) Xxx, </w:t>
      </w:r>
      <w:r w:rsidR="00CD3DAA" w:rsidRPr="004A28F1" w:rsidDel="00BA240A">
        <w:rPr>
          <w:rFonts w:ascii="Arial" w:eastAsia="MS Mincho" w:hAnsi="Arial" w:cs="Arial"/>
          <w:i/>
          <w:sz w:val="22"/>
          <w:szCs w:val="22"/>
        </w:rPr>
        <w:t xml:space="preserve"> </w:t>
      </w:r>
      <w:r w:rsidR="00CD3DAA" w:rsidRPr="004A28F1">
        <w:rPr>
          <w:rFonts w:ascii="Arial" w:eastAsia="MS Mincho" w:hAnsi="Arial" w:cs="Arial"/>
          <w:i/>
          <w:sz w:val="22"/>
          <w:szCs w:val="22"/>
        </w:rPr>
        <w:t>(5) Rents;</w:t>
      </w:r>
      <w:r w:rsidR="006D6A90" w:rsidRPr="004A28F1">
        <w:rPr>
          <w:rFonts w:ascii="Arial" w:eastAsia="MS Mincho" w:hAnsi="Arial" w:cs="Arial"/>
          <w:i/>
          <w:sz w:val="22"/>
          <w:szCs w:val="22"/>
        </w:rPr>
        <w:t xml:space="preserve"> </w:t>
      </w:r>
      <w:r w:rsidR="00CD3DAA" w:rsidRPr="004A28F1">
        <w:rPr>
          <w:rFonts w:ascii="Arial" w:eastAsia="MS Mincho" w:hAnsi="Arial" w:cs="Arial"/>
          <w:i/>
          <w:sz w:val="22"/>
          <w:szCs w:val="22"/>
        </w:rPr>
        <w:t>X x x”</w:t>
      </w:r>
    </w:p>
    <w:p w14:paraId="2E0C748D" w14:textId="1C19D725" w:rsidR="00CD3DAA" w:rsidRPr="004A28F1" w:rsidRDefault="00CD3DAA" w:rsidP="007516A5">
      <w:pPr>
        <w:rPr>
          <w:rFonts w:ascii="Arial" w:hAnsi="Arial" w:cs="Arial"/>
          <w:sz w:val="22"/>
          <w:szCs w:val="22"/>
        </w:rPr>
      </w:pPr>
    </w:p>
    <w:p w14:paraId="2EE018FE" w14:textId="1416BB86" w:rsidR="00CD3DAA" w:rsidRPr="004A28F1" w:rsidRDefault="00A955B8" w:rsidP="00E2290C">
      <w:pPr>
        <w:pStyle w:val="ListParagraph"/>
        <w:tabs>
          <w:tab w:val="left" w:pos="0"/>
        </w:tabs>
        <w:spacing w:after="20"/>
        <w:ind w:left="0"/>
        <w:jc w:val="both"/>
        <w:rPr>
          <w:rFonts w:ascii="Arial" w:hAnsi="Arial" w:cs="Arial"/>
          <w:sz w:val="22"/>
          <w:szCs w:val="22"/>
        </w:rPr>
      </w:pPr>
      <w:r w:rsidRPr="004A28F1">
        <w:rPr>
          <w:rFonts w:ascii="Arial" w:hAnsi="Arial" w:cs="Arial"/>
          <w:sz w:val="22"/>
          <w:szCs w:val="22"/>
        </w:rPr>
        <w:t>2.3</w:t>
      </w:r>
      <w:r w:rsidRPr="004A28F1">
        <w:rPr>
          <w:rFonts w:ascii="Arial" w:hAnsi="Arial" w:cs="Arial"/>
          <w:sz w:val="22"/>
          <w:szCs w:val="22"/>
        </w:rPr>
        <w:tab/>
      </w:r>
      <w:r w:rsidR="00CD3DAA" w:rsidRPr="004A28F1">
        <w:rPr>
          <w:rFonts w:ascii="Arial" w:hAnsi="Arial" w:cs="Arial"/>
          <w:sz w:val="22"/>
          <w:szCs w:val="22"/>
        </w:rPr>
        <w:t>For CYs 2022 and 2021, OFB’s GRT remittances amounted to P6</w:t>
      </w:r>
      <w:r w:rsidR="00592DA8" w:rsidRPr="004A28F1">
        <w:rPr>
          <w:rFonts w:ascii="Arial" w:hAnsi="Arial" w:cs="Arial"/>
          <w:sz w:val="22"/>
          <w:szCs w:val="22"/>
        </w:rPr>
        <w:t>.</w:t>
      </w:r>
      <w:r w:rsidR="00CD3DAA" w:rsidRPr="004A28F1">
        <w:rPr>
          <w:rFonts w:ascii="Arial" w:hAnsi="Arial" w:cs="Arial"/>
          <w:sz w:val="22"/>
          <w:szCs w:val="22"/>
        </w:rPr>
        <w:t>538</w:t>
      </w:r>
      <w:r w:rsidR="00592DA8" w:rsidRPr="004A28F1">
        <w:rPr>
          <w:rFonts w:ascii="Arial" w:hAnsi="Arial" w:cs="Arial"/>
          <w:sz w:val="22"/>
          <w:szCs w:val="22"/>
        </w:rPr>
        <w:t xml:space="preserve"> million </w:t>
      </w:r>
      <w:r w:rsidR="00CD3DAA" w:rsidRPr="004A28F1">
        <w:rPr>
          <w:rFonts w:ascii="Arial" w:hAnsi="Arial" w:cs="Arial"/>
          <w:sz w:val="22"/>
          <w:szCs w:val="22"/>
        </w:rPr>
        <w:t>and P467,98</w:t>
      </w:r>
      <w:r w:rsidR="00592DA8" w:rsidRPr="004A28F1">
        <w:rPr>
          <w:rFonts w:ascii="Arial" w:hAnsi="Arial" w:cs="Arial"/>
          <w:sz w:val="22"/>
          <w:szCs w:val="22"/>
        </w:rPr>
        <w:t>4</w:t>
      </w:r>
      <w:r w:rsidR="00CD3DAA" w:rsidRPr="004A28F1">
        <w:rPr>
          <w:rFonts w:ascii="Arial" w:hAnsi="Arial" w:cs="Arial"/>
          <w:sz w:val="22"/>
          <w:szCs w:val="22"/>
        </w:rPr>
        <w:t>, respectively.</w:t>
      </w:r>
      <w:r w:rsidR="00CD3DAA" w:rsidRPr="004A28F1" w:rsidDel="00570527">
        <w:rPr>
          <w:rFonts w:ascii="Arial" w:hAnsi="Arial" w:cs="Arial"/>
          <w:sz w:val="22"/>
          <w:szCs w:val="22"/>
        </w:rPr>
        <w:t xml:space="preserve"> </w:t>
      </w:r>
    </w:p>
    <w:p w14:paraId="662BA4F5" w14:textId="77777777" w:rsidR="00CD3DAA" w:rsidRPr="004A28F1" w:rsidRDefault="00CD3DAA" w:rsidP="007516A5">
      <w:pPr>
        <w:shd w:val="clear" w:color="auto" w:fill="FFFFFF"/>
        <w:contextualSpacing/>
        <w:jc w:val="both"/>
        <w:rPr>
          <w:rFonts w:ascii="Arial" w:hAnsi="Arial" w:cs="Arial"/>
          <w:sz w:val="22"/>
          <w:szCs w:val="22"/>
        </w:rPr>
      </w:pPr>
    </w:p>
    <w:p w14:paraId="33643F4B" w14:textId="50BA205A" w:rsidR="00CD3DAA" w:rsidRPr="004A28F1" w:rsidRDefault="00A955B8" w:rsidP="00E2290C">
      <w:pPr>
        <w:pStyle w:val="ListParagraph"/>
        <w:tabs>
          <w:tab w:val="left" w:pos="0"/>
        </w:tabs>
        <w:spacing w:after="20"/>
        <w:ind w:left="0"/>
        <w:jc w:val="both"/>
        <w:rPr>
          <w:rFonts w:ascii="Arial" w:hAnsi="Arial" w:cs="Arial"/>
          <w:sz w:val="22"/>
          <w:szCs w:val="22"/>
        </w:rPr>
      </w:pPr>
      <w:r w:rsidRPr="004A28F1">
        <w:rPr>
          <w:rFonts w:ascii="Arial" w:hAnsi="Arial" w:cs="Arial"/>
          <w:sz w:val="22"/>
          <w:szCs w:val="22"/>
        </w:rPr>
        <w:t>2,4</w:t>
      </w:r>
      <w:r w:rsidRPr="004A28F1">
        <w:rPr>
          <w:rFonts w:ascii="Arial" w:hAnsi="Arial" w:cs="Arial"/>
          <w:sz w:val="22"/>
          <w:szCs w:val="22"/>
        </w:rPr>
        <w:tab/>
      </w:r>
      <w:r w:rsidR="00CD3DAA" w:rsidRPr="004A28F1">
        <w:rPr>
          <w:rFonts w:ascii="Arial" w:hAnsi="Arial" w:cs="Arial"/>
          <w:sz w:val="22"/>
          <w:szCs w:val="22"/>
        </w:rPr>
        <w:t xml:space="preserve">Verification of the Schedule of GRT Remittances for CY 2022 </w:t>
      </w:r>
      <w:r w:rsidR="006D6A90" w:rsidRPr="004A28F1">
        <w:rPr>
          <w:rFonts w:ascii="Arial" w:hAnsi="Arial" w:cs="Arial"/>
          <w:sz w:val="22"/>
          <w:szCs w:val="22"/>
        </w:rPr>
        <w:t>disclosed</w:t>
      </w:r>
      <w:r w:rsidR="00CD3DAA" w:rsidRPr="004A28F1">
        <w:rPr>
          <w:rFonts w:ascii="Arial" w:hAnsi="Arial" w:cs="Arial"/>
          <w:sz w:val="22"/>
          <w:szCs w:val="22"/>
        </w:rPr>
        <w:t xml:space="preserve"> that the Bank used </w:t>
      </w:r>
      <w:r w:rsidR="006D6A90" w:rsidRPr="004A28F1">
        <w:rPr>
          <w:rFonts w:ascii="Arial" w:hAnsi="Arial" w:cs="Arial"/>
          <w:sz w:val="22"/>
          <w:szCs w:val="22"/>
        </w:rPr>
        <w:t xml:space="preserve">the </w:t>
      </w:r>
      <w:r w:rsidR="003168E4" w:rsidRPr="004A28F1">
        <w:rPr>
          <w:rFonts w:ascii="Arial" w:hAnsi="Arial" w:cs="Arial"/>
          <w:sz w:val="22"/>
          <w:szCs w:val="22"/>
        </w:rPr>
        <w:t>five</w:t>
      </w:r>
      <w:r w:rsidR="006D6A90" w:rsidRPr="004A28F1">
        <w:rPr>
          <w:rFonts w:ascii="Arial" w:hAnsi="Arial" w:cs="Arial"/>
          <w:sz w:val="22"/>
          <w:szCs w:val="22"/>
        </w:rPr>
        <w:t xml:space="preserve"> per cent</w:t>
      </w:r>
      <w:r w:rsidR="00CD3DAA" w:rsidRPr="004A28F1">
        <w:rPr>
          <w:rFonts w:ascii="Arial" w:hAnsi="Arial" w:cs="Arial"/>
          <w:sz w:val="22"/>
          <w:szCs w:val="22"/>
        </w:rPr>
        <w:t xml:space="preserve"> tax rate. </w:t>
      </w:r>
      <w:r w:rsidR="006D6A90" w:rsidRPr="004A28F1">
        <w:rPr>
          <w:rFonts w:ascii="Arial" w:hAnsi="Arial" w:cs="Arial"/>
          <w:sz w:val="22"/>
          <w:szCs w:val="22"/>
        </w:rPr>
        <w:t>In</w:t>
      </w:r>
      <w:r w:rsidR="00CD3DAA" w:rsidRPr="004A28F1">
        <w:rPr>
          <w:rFonts w:ascii="Arial" w:hAnsi="Arial" w:cs="Arial"/>
          <w:sz w:val="22"/>
          <w:szCs w:val="22"/>
        </w:rPr>
        <w:t xml:space="preserve"> the filing and payment of GRT in eFPS, OFB erroneously used the Alphanumeric Tax Code (ATC) of PT 115 with tax rate of </w:t>
      </w:r>
      <w:r w:rsidR="00592DA8" w:rsidRPr="004A28F1">
        <w:rPr>
          <w:rFonts w:ascii="Arial" w:hAnsi="Arial" w:cs="Arial"/>
          <w:sz w:val="22"/>
          <w:szCs w:val="22"/>
        </w:rPr>
        <w:t>five</w:t>
      </w:r>
      <w:r w:rsidR="006D6A90" w:rsidRPr="004A28F1">
        <w:rPr>
          <w:rFonts w:ascii="Arial" w:hAnsi="Arial" w:cs="Arial"/>
          <w:sz w:val="22"/>
          <w:szCs w:val="22"/>
        </w:rPr>
        <w:t xml:space="preserve"> per cent</w:t>
      </w:r>
      <w:r w:rsidR="00CD3DAA" w:rsidRPr="004A28F1">
        <w:rPr>
          <w:rFonts w:ascii="Arial" w:hAnsi="Arial" w:cs="Arial"/>
          <w:sz w:val="22"/>
          <w:szCs w:val="22"/>
        </w:rPr>
        <w:t xml:space="preserve"> instead of PT103 with tax rate of </w:t>
      </w:r>
      <w:r w:rsidR="003168E4" w:rsidRPr="004A28F1">
        <w:rPr>
          <w:rFonts w:ascii="Arial" w:hAnsi="Arial" w:cs="Arial"/>
          <w:sz w:val="22"/>
          <w:szCs w:val="22"/>
        </w:rPr>
        <w:t>seven</w:t>
      </w:r>
      <w:r w:rsidR="006D6A90" w:rsidRPr="004A28F1">
        <w:rPr>
          <w:rFonts w:ascii="Arial" w:hAnsi="Arial" w:cs="Arial"/>
          <w:sz w:val="22"/>
          <w:szCs w:val="22"/>
        </w:rPr>
        <w:t xml:space="preserve"> per cent</w:t>
      </w:r>
      <w:r w:rsidR="00CD3DAA" w:rsidRPr="004A28F1">
        <w:rPr>
          <w:rFonts w:ascii="Arial" w:hAnsi="Arial" w:cs="Arial"/>
          <w:sz w:val="22"/>
          <w:szCs w:val="22"/>
        </w:rPr>
        <w:t xml:space="preserve"> for all items treated as gross income including rent income, miscellaneous income, fees and commissions, and gain on sale of property, contrary to Sections 32 and 121 NIRC</w:t>
      </w:r>
      <w:r w:rsidR="00790756" w:rsidRPr="004A28F1">
        <w:rPr>
          <w:rFonts w:ascii="Arial" w:hAnsi="Arial" w:cs="Arial"/>
          <w:sz w:val="22"/>
          <w:szCs w:val="22"/>
        </w:rPr>
        <w:t xml:space="preserve"> </w:t>
      </w:r>
      <w:r w:rsidR="00CD3DAA" w:rsidRPr="004A28F1">
        <w:rPr>
          <w:rFonts w:ascii="Arial" w:hAnsi="Arial" w:cs="Arial"/>
          <w:sz w:val="22"/>
          <w:szCs w:val="22"/>
        </w:rPr>
        <w:t xml:space="preserve">of 1997, as amended. </w:t>
      </w:r>
      <w:r w:rsidR="005A7B4C" w:rsidRPr="004A28F1">
        <w:rPr>
          <w:rFonts w:ascii="Arial" w:hAnsi="Arial" w:cs="Arial"/>
          <w:sz w:val="22"/>
          <w:szCs w:val="22"/>
        </w:rPr>
        <w:t>A</w:t>
      </w:r>
      <w:r w:rsidR="00CD3DAA" w:rsidRPr="004A28F1">
        <w:rPr>
          <w:rFonts w:ascii="Arial" w:hAnsi="Arial" w:cs="Arial"/>
          <w:sz w:val="22"/>
          <w:szCs w:val="22"/>
        </w:rPr>
        <w:t xml:space="preserve">ccording to </w:t>
      </w:r>
      <w:r w:rsidR="00510B16" w:rsidRPr="004A28F1">
        <w:rPr>
          <w:rFonts w:ascii="Arial" w:hAnsi="Arial" w:cs="Arial"/>
          <w:sz w:val="22"/>
          <w:szCs w:val="22"/>
        </w:rPr>
        <w:t>the Financial Management Un</w:t>
      </w:r>
      <w:r w:rsidR="000D3161" w:rsidRPr="004A28F1">
        <w:rPr>
          <w:rFonts w:ascii="Arial" w:hAnsi="Arial" w:cs="Arial"/>
          <w:sz w:val="22"/>
          <w:szCs w:val="22"/>
        </w:rPr>
        <w:t>i</w:t>
      </w:r>
      <w:r w:rsidR="00510B16" w:rsidRPr="004A28F1">
        <w:rPr>
          <w:rFonts w:ascii="Arial" w:hAnsi="Arial" w:cs="Arial"/>
          <w:sz w:val="22"/>
          <w:szCs w:val="22"/>
        </w:rPr>
        <w:t>t (</w:t>
      </w:r>
      <w:r w:rsidR="00CD3DAA" w:rsidRPr="004A28F1">
        <w:rPr>
          <w:rFonts w:ascii="Arial" w:hAnsi="Arial" w:cs="Arial"/>
          <w:sz w:val="22"/>
          <w:szCs w:val="22"/>
        </w:rPr>
        <w:t>FMU</w:t>
      </w:r>
      <w:r w:rsidR="00510B16" w:rsidRPr="004A28F1">
        <w:rPr>
          <w:rFonts w:ascii="Arial" w:hAnsi="Arial" w:cs="Arial"/>
          <w:sz w:val="22"/>
          <w:szCs w:val="22"/>
        </w:rPr>
        <w:t>)</w:t>
      </w:r>
      <w:r w:rsidR="00CD3DAA" w:rsidRPr="004A28F1">
        <w:rPr>
          <w:rFonts w:ascii="Arial" w:hAnsi="Arial" w:cs="Arial"/>
          <w:sz w:val="22"/>
          <w:szCs w:val="22"/>
        </w:rPr>
        <w:t>, the ATC for PT103,</w:t>
      </w:r>
      <w:r w:rsidR="006D6A90" w:rsidRPr="004A28F1">
        <w:rPr>
          <w:rFonts w:ascii="Arial" w:hAnsi="Arial" w:cs="Arial"/>
          <w:sz w:val="22"/>
          <w:szCs w:val="22"/>
        </w:rPr>
        <w:t xml:space="preserve"> of</w:t>
      </w:r>
      <w:r w:rsidR="00CD3DAA" w:rsidRPr="004A28F1">
        <w:rPr>
          <w:rFonts w:ascii="Arial" w:hAnsi="Arial" w:cs="Arial"/>
          <w:sz w:val="22"/>
          <w:szCs w:val="22"/>
        </w:rPr>
        <w:t xml:space="preserve"> </w:t>
      </w:r>
      <w:r w:rsidR="00790756" w:rsidRPr="004A28F1">
        <w:rPr>
          <w:rFonts w:ascii="Arial" w:hAnsi="Arial" w:cs="Arial"/>
          <w:sz w:val="22"/>
          <w:szCs w:val="22"/>
        </w:rPr>
        <w:t>seven</w:t>
      </w:r>
      <w:r w:rsidR="006D6A90" w:rsidRPr="004A28F1">
        <w:rPr>
          <w:rFonts w:ascii="Arial" w:hAnsi="Arial" w:cs="Arial"/>
          <w:sz w:val="22"/>
          <w:szCs w:val="22"/>
        </w:rPr>
        <w:t xml:space="preserve"> per cent</w:t>
      </w:r>
      <w:r w:rsidR="00CD3DAA" w:rsidRPr="004A28F1">
        <w:rPr>
          <w:rFonts w:ascii="Arial" w:hAnsi="Arial" w:cs="Arial"/>
          <w:sz w:val="22"/>
          <w:szCs w:val="22"/>
        </w:rPr>
        <w:t xml:space="preserve">, was previously not available in their eFPS, thus, the use of </w:t>
      </w:r>
      <w:r w:rsidR="003168E4" w:rsidRPr="004A28F1">
        <w:rPr>
          <w:rFonts w:ascii="Arial" w:hAnsi="Arial" w:cs="Arial"/>
          <w:sz w:val="22"/>
          <w:szCs w:val="22"/>
        </w:rPr>
        <w:t>five</w:t>
      </w:r>
      <w:r w:rsidR="006D6A90" w:rsidRPr="004A28F1">
        <w:rPr>
          <w:rFonts w:ascii="Arial" w:hAnsi="Arial" w:cs="Arial"/>
          <w:sz w:val="22"/>
          <w:szCs w:val="22"/>
        </w:rPr>
        <w:t xml:space="preserve"> per cent</w:t>
      </w:r>
      <w:r w:rsidR="00CD3DAA" w:rsidRPr="004A28F1">
        <w:rPr>
          <w:rFonts w:ascii="Arial" w:hAnsi="Arial" w:cs="Arial"/>
          <w:sz w:val="22"/>
          <w:szCs w:val="22"/>
        </w:rPr>
        <w:t>.</w:t>
      </w:r>
    </w:p>
    <w:p w14:paraId="27DCF67E" w14:textId="77777777" w:rsidR="00CD3DAA" w:rsidRPr="004A28F1" w:rsidRDefault="00CD3DAA" w:rsidP="007516A5">
      <w:pPr>
        <w:shd w:val="clear" w:color="auto" w:fill="FFFFFF"/>
        <w:contextualSpacing/>
        <w:jc w:val="both"/>
        <w:rPr>
          <w:rFonts w:ascii="Arial" w:hAnsi="Arial" w:cs="Arial"/>
          <w:sz w:val="22"/>
          <w:szCs w:val="22"/>
        </w:rPr>
      </w:pPr>
    </w:p>
    <w:p w14:paraId="62E8F5DF" w14:textId="36264482" w:rsidR="00CD3DAA" w:rsidRPr="004A28F1" w:rsidRDefault="00A955B8" w:rsidP="00E2290C">
      <w:pPr>
        <w:pStyle w:val="ListParagraph"/>
        <w:tabs>
          <w:tab w:val="left" w:pos="0"/>
        </w:tabs>
        <w:spacing w:after="20"/>
        <w:ind w:left="0"/>
        <w:jc w:val="both"/>
        <w:rPr>
          <w:rFonts w:ascii="Arial" w:hAnsi="Arial" w:cs="Arial"/>
          <w:sz w:val="22"/>
          <w:szCs w:val="22"/>
        </w:rPr>
      </w:pPr>
      <w:r w:rsidRPr="004A28F1">
        <w:rPr>
          <w:rFonts w:ascii="Arial" w:eastAsia="MS Mincho" w:hAnsi="Arial" w:cs="Arial"/>
          <w:iCs/>
          <w:sz w:val="22"/>
          <w:szCs w:val="22"/>
        </w:rPr>
        <w:t>2.5</w:t>
      </w:r>
      <w:r w:rsidRPr="004A28F1">
        <w:rPr>
          <w:rFonts w:ascii="Arial" w:eastAsia="MS Mincho" w:hAnsi="Arial" w:cs="Arial"/>
          <w:iCs/>
          <w:sz w:val="22"/>
          <w:szCs w:val="22"/>
        </w:rPr>
        <w:tab/>
      </w:r>
      <w:r w:rsidR="00CD3DAA" w:rsidRPr="004A28F1">
        <w:rPr>
          <w:rFonts w:ascii="Arial" w:eastAsia="MS Mincho" w:hAnsi="Arial" w:cs="Arial"/>
          <w:iCs/>
          <w:sz w:val="22"/>
          <w:szCs w:val="22"/>
        </w:rPr>
        <w:t>The</w:t>
      </w:r>
      <w:r w:rsidR="00CD3DAA" w:rsidRPr="004A28F1">
        <w:rPr>
          <w:rFonts w:ascii="Arial" w:hAnsi="Arial" w:cs="Arial"/>
          <w:sz w:val="22"/>
          <w:szCs w:val="22"/>
        </w:rPr>
        <w:t xml:space="preserve"> use of </w:t>
      </w:r>
      <w:r w:rsidR="003168E4" w:rsidRPr="004A28F1">
        <w:rPr>
          <w:rFonts w:ascii="Arial" w:hAnsi="Arial" w:cs="Arial"/>
          <w:sz w:val="22"/>
          <w:szCs w:val="22"/>
        </w:rPr>
        <w:t>five</w:t>
      </w:r>
      <w:r w:rsidR="005A7B4C" w:rsidRPr="004A28F1">
        <w:rPr>
          <w:rFonts w:ascii="Arial" w:hAnsi="Arial" w:cs="Arial"/>
          <w:sz w:val="22"/>
          <w:szCs w:val="22"/>
        </w:rPr>
        <w:t xml:space="preserve"> per cent</w:t>
      </w:r>
      <w:r w:rsidR="00CD3DAA" w:rsidRPr="004A28F1">
        <w:rPr>
          <w:rFonts w:ascii="Arial" w:hAnsi="Arial" w:cs="Arial"/>
          <w:sz w:val="22"/>
          <w:szCs w:val="22"/>
        </w:rPr>
        <w:t xml:space="preserve"> instead of </w:t>
      </w:r>
      <w:r w:rsidR="003168E4" w:rsidRPr="004A28F1">
        <w:rPr>
          <w:rFonts w:ascii="Arial" w:hAnsi="Arial" w:cs="Arial"/>
          <w:sz w:val="22"/>
          <w:szCs w:val="22"/>
        </w:rPr>
        <w:t>seven</w:t>
      </w:r>
      <w:r w:rsidR="005A7B4C" w:rsidRPr="004A28F1">
        <w:rPr>
          <w:rFonts w:ascii="Arial" w:hAnsi="Arial" w:cs="Arial"/>
          <w:sz w:val="22"/>
          <w:szCs w:val="22"/>
        </w:rPr>
        <w:t xml:space="preserve"> per cent</w:t>
      </w:r>
      <w:r w:rsidR="00CD3DAA" w:rsidRPr="004A28F1">
        <w:rPr>
          <w:rFonts w:ascii="Arial" w:hAnsi="Arial" w:cs="Arial"/>
          <w:sz w:val="22"/>
          <w:szCs w:val="22"/>
        </w:rPr>
        <w:t xml:space="preserve"> tax rate resulted to under remittance of GRT of P496,81</w:t>
      </w:r>
      <w:r w:rsidR="00790756" w:rsidRPr="004A28F1">
        <w:rPr>
          <w:rFonts w:ascii="Arial" w:hAnsi="Arial" w:cs="Arial"/>
          <w:sz w:val="22"/>
          <w:szCs w:val="22"/>
        </w:rPr>
        <w:t>8</w:t>
      </w:r>
      <w:r w:rsidR="00CD3DAA" w:rsidRPr="004A28F1">
        <w:rPr>
          <w:rFonts w:ascii="Arial" w:hAnsi="Arial" w:cs="Arial"/>
          <w:sz w:val="22"/>
          <w:szCs w:val="22"/>
        </w:rPr>
        <w:t xml:space="preserve"> and P187,627 for CYs 2022 and 2021, respectively, or a total of P</w:t>
      </w:r>
      <w:r w:rsidR="00790756" w:rsidRPr="004A28F1">
        <w:rPr>
          <w:rFonts w:ascii="Arial" w:hAnsi="Arial" w:cs="Arial"/>
          <w:sz w:val="22"/>
          <w:szCs w:val="22"/>
        </w:rPr>
        <w:t>0.</w:t>
      </w:r>
      <w:r w:rsidR="00CD3DAA" w:rsidRPr="004A28F1">
        <w:rPr>
          <w:rFonts w:ascii="Arial" w:hAnsi="Arial" w:cs="Arial"/>
          <w:sz w:val="22"/>
          <w:szCs w:val="22"/>
        </w:rPr>
        <w:t>684</w:t>
      </w:r>
      <w:r w:rsidR="00790756" w:rsidRPr="004A28F1">
        <w:rPr>
          <w:rFonts w:ascii="Arial" w:hAnsi="Arial" w:cs="Arial"/>
          <w:sz w:val="22"/>
          <w:szCs w:val="22"/>
        </w:rPr>
        <w:t xml:space="preserve"> million</w:t>
      </w:r>
      <w:r w:rsidR="005A7B4C" w:rsidRPr="004A28F1">
        <w:rPr>
          <w:rFonts w:ascii="Arial" w:hAnsi="Arial" w:cs="Arial"/>
          <w:sz w:val="22"/>
          <w:szCs w:val="22"/>
        </w:rPr>
        <w:t>. The details as follows</w:t>
      </w:r>
      <w:r w:rsidR="00CD3DAA" w:rsidRPr="004A28F1">
        <w:rPr>
          <w:rFonts w:ascii="Arial" w:hAnsi="Arial" w:cs="Arial"/>
          <w:sz w:val="22"/>
          <w:szCs w:val="22"/>
        </w:rPr>
        <w:t xml:space="preserve">: </w:t>
      </w:r>
    </w:p>
    <w:p w14:paraId="1E2D4B66" w14:textId="77777777" w:rsidR="00CD3DAA" w:rsidRPr="004A28F1" w:rsidRDefault="00CD3DAA" w:rsidP="00E2290C">
      <w:pPr>
        <w:pStyle w:val="NoSpacing1"/>
      </w:pPr>
    </w:p>
    <w:tbl>
      <w:tblPr>
        <w:tblW w:w="7868" w:type="dxa"/>
        <w:tblInd w:w="426" w:type="dxa"/>
        <w:tblLayout w:type="fixed"/>
        <w:tblLook w:val="04A0" w:firstRow="1" w:lastRow="0" w:firstColumn="1" w:lastColumn="0" w:noHBand="0" w:noVBand="1"/>
      </w:tblPr>
      <w:tblGrid>
        <w:gridCol w:w="1888"/>
        <w:gridCol w:w="2099"/>
        <w:gridCol w:w="1888"/>
        <w:gridCol w:w="1993"/>
      </w:tblGrid>
      <w:tr w:rsidR="004A28F1" w:rsidRPr="004A28F1" w14:paraId="4E4D0EE7" w14:textId="77777777" w:rsidTr="003043F1">
        <w:trPr>
          <w:trHeight w:val="582"/>
        </w:trPr>
        <w:tc>
          <w:tcPr>
            <w:tcW w:w="1888" w:type="dxa"/>
            <w:tcBorders>
              <w:top w:val="single" w:sz="4" w:space="0" w:color="auto"/>
              <w:bottom w:val="single" w:sz="4" w:space="0" w:color="auto"/>
            </w:tcBorders>
            <w:shd w:val="clear" w:color="auto" w:fill="auto"/>
            <w:noWrap/>
            <w:vAlign w:val="center"/>
            <w:hideMark/>
          </w:tcPr>
          <w:p w14:paraId="4AB2444C" w14:textId="7B75F3E2" w:rsidR="00CD3DAA" w:rsidRPr="004A28F1" w:rsidRDefault="0085158A" w:rsidP="000031D6">
            <w:pPr>
              <w:jc w:val="center"/>
              <w:rPr>
                <w:rFonts w:ascii="Arial" w:hAnsi="Arial" w:cs="Arial"/>
                <w:b/>
                <w:sz w:val="22"/>
                <w:szCs w:val="22"/>
                <w:lang w:val="en-PH" w:eastAsia="en-PH"/>
              </w:rPr>
            </w:pPr>
            <w:r w:rsidRPr="004A28F1">
              <w:rPr>
                <w:rFonts w:ascii="Arial" w:hAnsi="Arial" w:cs="Arial"/>
                <w:b/>
                <w:sz w:val="22"/>
                <w:szCs w:val="22"/>
                <w:lang w:val="en-PH" w:eastAsia="en-PH"/>
              </w:rPr>
              <w:t>Year</w:t>
            </w:r>
            <w:r w:rsidR="005A7B4C" w:rsidRPr="004A28F1">
              <w:rPr>
                <w:rFonts w:ascii="Arial" w:hAnsi="Arial" w:cs="Arial"/>
                <w:b/>
                <w:sz w:val="22"/>
                <w:szCs w:val="22"/>
                <w:lang w:val="en-PH" w:eastAsia="en-PH"/>
              </w:rPr>
              <w:t>/Quarter</w:t>
            </w:r>
          </w:p>
        </w:tc>
        <w:tc>
          <w:tcPr>
            <w:tcW w:w="2099" w:type="dxa"/>
            <w:tcBorders>
              <w:top w:val="single" w:sz="4" w:space="0" w:color="auto"/>
              <w:bottom w:val="single" w:sz="4" w:space="0" w:color="auto"/>
            </w:tcBorders>
            <w:shd w:val="clear" w:color="auto" w:fill="auto"/>
            <w:noWrap/>
            <w:vAlign w:val="center"/>
            <w:hideMark/>
          </w:tcPr>
          <w:p w14:paraId="33F2F2F3" w14:textId="771A30B1" w:rsidR="00CD3DAA" w:rsidRPr="004A28F1" w:rsidRDefault="00CD3DAA" w:rsidP="000031D6">
            <w:pPr>
              <w:jc w:val="center"/>
              <w:rPr>
                <w:rFonts w:ascii="Arial" w:hAnsi="Arial" w:cs="Arial"/>
                <w:b/>
                <w:bCs/>
                <w:sz w:val="22"/>
                <w:szCs w:val="22"/>
              </w:rPr>
            </w:pPr>
            <w:r w:rsidRPr="004A28F1">
              <w:rPr>
                <w:rFonts w:ascii="Arial" w:hAnsi="Arial" w:cs="Arial"/>
                <w:b/>
                <w:bCs/>
                <w:sz w:val="22"/>
                <w:szCs w:val="22"/>
              </w:rPr>
              <w:t>Remitt</w:t>
            </w:r>
            <w:r w:rsidR="005A7B4C" w:rsidRPr="004A28F1">
              <w:rPr>
                <w:rFonts w:ascii="Arial" w:hAnsi="Arial" w:cs="Arial"/>
                <w:b/>
                <w:bCs/>
                <w:sz w:val="22"/>
                <w:szCs w:val="22"/>
              </w:rPr>
              <w:t>ance of</w:t>
            </w:r>
            <w:r w:rsidRPr="004A28F1">
              <w:rPr>
                <w:rFonts w:ascii="Arial" w:hAnsi="Arial" w:cs="Arial"/>
                <w:b/>
                <w:bCs/>
                <w:sz w:val="22"/>
                <w:szCs w:val="22"/>
              </w:rPr>
              <w:t xml:space="preserve"> OFBI</w:t>
            </w:r>
          </w:p>
        </w:tc>
        <w:tc>
          <w:tcPr>
            <w:tcW w:w="1888" w:type="dxa"/>
            <w:tcBorders>
              <w:top w:val="single" w:sz="4" w:space="0" w:color="auto"/>
              <w:bottom w:val="single" w:sz="4" w:space="0" w:color="auto"/>
            </w:tcBorders>
            <w:shd w:val="clear" w:color="auto" w:fill="auto"/>
            <w:noWrap/>
            <w:vAlign w:val="center"/>
            <w:hideMark/>
          </w:tcPr>
          <w:p w14:paraId="0A5F17DE" w14:textId="7BEA2C70" w:rsidR="00CD3DAA" w:rsidRPr="004A28F1" w:rsidRDefault="005A7B4C" w:rsidP="000031D6">
            <w:pPr>
              <w:jc w:val="center"/>
              <w:rPr>
                <w:rFonts w:ascii="Arial" w:hAnsi="Arial" w:cs="Arial"/>
                <w:b/>
                <w:bCs/>
                <w:sz w:val="22"/>
                <w:szCs w:val="22"/>
              </w:rPr>
            </w:pPr>
            <w:r w:rsidRPr="004A28F1">
              <w:rPr>
                <w:rFonts w:ascii="Arial" w:hAnsi="Arial" w:cs="Arial"/>
                <w:b/>
                <w:bCs/>
                <w:sz w:val="22"/>
                <w:szCs w:val="22"/>
              </w:rPr>
              <w:t>COA</w:t>
            </w:r>
            <w:r w:rsidR="00CD3DAA" w:rsidRPr="004A28F1">
              <w:rPr>
                <w:rFonts w:ascii="Arial" w:hAnsi="Arial" w:cs="Arial"/>
                <w:b/>
                <w:bCs/>
                <w:sz w:val="22"/>
                <w:szCs w:val="22"/>
              </w:rPr>
              <w:t xml:space="preserve"> </w:t>
            </w:r>
            <w:r w:rsidRPr="004A28F1">
              <w:rPr>
                <w:rFonts w:ascii="Arial" w:hAnsi="Arial" w:cs="Arial"/>
                <w:b/>
                <w:bCs/>
                <w:sz w:val="22"/>
                <w:szCs w:val="22"/>
              </w:rPr>
              <w:t>A</w:t>
            </w:r>
            <w:r w:rsidR="00CD3DAA" w:rsidRPr="004A28F1">
              <w:rPr>
                <w:rFonts w:ascii="Arial" w:hAnsi="Arial" w:cs="Arial"/>
                <w:b/>
                <w:bCs/>
                <w:sz w:val="22"/>
                <w:szCs w:val="22"/>
              </w:rPr>
              <w:t>udit</w:t>
            </w:r>
          </w:p>
        </w:tc>
        <w:tc>
          <w:tcPr>
            <w:tcW w:w="1993" w:type="dxa"/>
            <w:tcBorders>
              <w:top w:val="single" w:sz="4" w:space="0" w:color="auto"/>
              <w:bottom w:val="single" w:sz="4" w:space="0" w:color="auto"/>
            </w:tcBorders>
            <w:shd w:val="clear" w:color="auto" w:fill="auto"/>
            <w:vAlign w:val="center"/>
            <w:hideMark/>
          </w:tcPr>
          <w:p w14:paraId="7D234CFA" w14:textId="77777777" w:rsidR="00CD3DAA" w:rsidRPr="004A28F1" w:rsidRDefault="00CD3DAA" w:rsidP="000031D6">
            <w:pPr>
              <w:jc w:val="center"/>
              <w:rPr>
                <w:rFonts w:ascii="Arial" w:hAnsi="Arial" w:cs="Arial"/>
                <w:b/>
                <w:bCs/>
                <w:sz w:val="22"/>
                <w:szCs w:val="22"/>
              </w:rPr>
            </w:pPr>
            <w:r w:rsidRPr="004A28F1">
              <w:rPr>
                <w:rFonts w:ascii="Arial" w:hAnsi="Arial" w:cs="Arial"/>
                <w:b/>
                <w:bCs/>
                <w:sz w:val="22"/>
                <w:szCs w:val="22"/>
              </w:rPr>
              <w:t>Under Remittance</w:t>
            </w:r>
          </w:p>
        </w:tc>
      </w:tr>
      <w:tr w:rsidR="004A28F1" w:rsidRPr="004A28F1" w14:paraId="1189F988" w14:textId="77777777" w:rsidTr="003043F1">
        <w:trPr>
          <w:trHeight w:val="303"/>
        </w:trPr>
        <w:tc>
          <w:tcPr>
            <w:tcW w:w="1888" w:type="dxa"/>
            <w:tcBorders>
              <w:top w:val="single" w:sz="4" w:space="0" w:color="auto"/>
              <w:bottom w:val="single" w:sz="4" w:space="0" w:color="auto"/>
            </w:tcBorders>
            <w:shd w:val="clear" w:color="auto" w:fill="auto"/>
            <w:noWrap/>
            <w:vAlign w:val="center"/>
          </w:tcPr>
          <w:p w14:paraId="423C5073" w14:textId="3E887014" w:rsidR="0085158A" w:rsidRPr="004A28F1" w:rsidRDefault="0085158A" w:rsidP="000031D6">
            <w:pPr>
              <w:jc w:val="center"/>
              <w:rPr>
                <w:rFonts w:ascii="Arial" w:hAnsi="Arial" w:cs="Arial"/>
                <w:b/>
                <w:sz w:val="22"/>
                <w:szCs w:val="22"/>
                <w:lang w:val="en-PH" w:eastAsia="en-PH"/>
              </w:rPr>
            </w:pPr>
            <w:r w:rsidRPr="004A28F1">
              <w:rPr>
                <w:rFonts w:ascii="Arial" w:hAnsi="Arial" w:cs="Arial"/>
                <w:b/>
                <w:sz w:val="22"/>
                <w:szCs w:val="22"/>
                <w:lang w:val="en-PH" w:eastAsia="en-PH"/>
              </w:rPr>
              <w:t>2022</w:t>
            </w:r>
          </w:p>
        </w:tc>
        <w:tc>
          <w:tcPr>
            <w:tcW w:w="2099" w:type="dxa"/>
            <w:tcBorders>
              <w:top w:val="single" w:sz="4" w:space="0" w:color="auto"/>
              <w:bottom w:val="single" w:sz="4" w:space="0" w:color="auto"/>
            </w:tcBorders>
            <w:shd w:val="clear" w:color="auto" w:fill="auto"/>
            <w:noWrap/>
            <w:vAlign w:val="center"/>
          </w:tcPr>
          <w:p w14:paraId="1EE72C36" w14:textId="77777777" w:rsidR="0085158A" w:rsidRPr="004A28F1" w:rsidRDefault="0085158A" w:rsidP="000031D6">
            <w:pPr>
              <w:jc w:val="center"/>
              <w:rPr>
                <w:rFonts w:ascii="Arial" w:hAnsi="Arial" w:cs="Arial"/>
                <w:b/>
                <w:bCs/>
                <w:sz w:val="22"/>
                <w:szCs w:val="22"/>
              </w:rPr>
            </w:pPr>
          </w:p>
        </w:tc>
        <w:tc>
          <w:tcPr>
            <w:tcW w:w="1888" w:type="dxa"/>
            <w:tcBorders>
              <w:top w:val="single" w:sz="4" w:space="0" w:color="auto"/>
              <w:bottom w:val="single" w:sz="4" w:space="0" w:color="auto"/>
            </w:tcBorders>
            <w:shd w:val="clear" w:color="auto" w:fill="auto"/>
            <w:noWrap/>
            <w:vAlign w:val="center"/>
          </w:tcPr>
          <w:p w14:paraId="2597E4B1" w14:textId="77777777" w:rsidR="0085158A" w:rsidRPr="004A28F1" w:rsidRDefault="0085158A" w:rsidP="000031D6">
            <w:pPr>
              <w:jc w:val="center"/>
              <w:rPr>
                <w:rFonts w:ascii="Arial" w:hAnsi="Arial" w:cs="Arial"/>
                <w:b/>
                <w:bCs/>
                <w:sz w:val="22"/>
                <w:szCs w:val="22"/>
              </w:rPr>
            </w:pPr>
          </w:p>
        </w:tc>
        <w:tc>
          <w:tcPr>
            <w:tcW w:w="1993" w:type="dxa"/>
            <w:tcBorders>
              <w:top w:val="single" w:sz="4" w:space="0" w:color="auto"/>
              <w:bottom w:val="single" w:sz="4" w:space="0" w:color="auto"/>
            </w:tcBorders>
            <w:shd w:val="clear" w:color="auto" w:fill="auto"/>
            <w:vAlign w:val="center"/>
          </w:tcPr>
          <w:p w14:paraId="4F2D224E" w14:textId="77777777" w:rsidR="0085158A" w:rsidRPr="004A28F1" w:rsidRDefault="0085158A" w:rsidP="000031D6">
            <w:pPr>
              <w:jc w:val="center"/>
              <w:rPr>
                <w:rFonts w:ascii="Arial" w:hAnsi="Arial" w:cs="Arial"/>
                <w:b/>
                <w:bCs/>
                <w:sz w:val="22"/>
                <w:szCs w:val="22"/>
              </w:rPr>
            </w:pPr>
          </w:p>
        </w:tc>
      </w:tr>
      <w:tr w:rsidR="004A28F1" w:rsidRPr="004A28F1" w14:paraId="37576D7D" w14:textId="77777777" w:rsidTr="003043F1">
        <w:trPr>
          <w:trHeight w:val="290"/>
        </w:trPr>
        <w:tc>
          <w:tcPr>
            <w:tcW w:w="1888" w:type="dxa"/>
            <w:tcBorders>
              <w:top w:val="single" w:sz="4" w:space="0" w:color="auto"/>
            </w:tcBorders>
            <w:shd w:val="clear" w:color="auto" w:fill="auto"/>
            <w:noWrap/>
            <w:hideMark/>
          </w:tcPr>
          <w:p w14:paraId="7D4185F6" w14:textId="77777777" w:rsidR="00CD3DAA" w:rsidRPr="004A28F1" w:rsidRDefault="00CD3DAA" w:rsidP="000031D6">
            <w:pPr>
              <w:rPr>
                <w:rFonts w:ascii="Arial" w:hAnsi="Arial" w:cs="Arial"/>
                <w:sz w:val="22"/>
                <w:szCs w:val="22"/>
              </w:rPr>
            </w:pPr>
            <w:r w:rsidRPr="004A28F1">
              <w:rPr>
                <w:rFonts w:ascii="Arial" w:hAnsi="Arial" w:cs="Arial"/>
                <w:sz w:val="22"/>
                <w:szCs w:val="22"/>
              </w:rPr>
              <w:t xml:space="preserve">Quarter 1 </w:t>
            </w:r>
          </w:p>
        </w:tc>
        <w:tc>
          <w:tcPr>
            <w:tcW w:w="2099" w:type="dxa"/>
            <w:tcBorders>
              <w:top w:val="single" w:sz="4" w:space="0" w:color="auto"/>
            </w:tcBorders>
            <w:shd w:val="clear" w:color="auto" w:fill="auto"/>
            <w:noWrap/>
            <w:hideMark/>
          </w:tcPr>
          <w:p w14:paraId="55BD2A99"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267,483.50 </w:t>
            </w:r>
          </w:p>
        </w:tc>
        <w:tc>
          <w:tcPr>
            <w:tcW w:w="1888" w:type="dxa"/>
            <w:tcBorders>
              <w:top w:val="single" w:sz="4" w:space="0" w:color="auto"/>
            </w:tcBorders>
            <w:shd w:val="clear" w:color="auto" w:fill="auto"/>
            <w:noWrap/>
            <w:hideMark/>
          </w:tcPr>
          <w:p w14:paraId="55180FB7"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374,370.36 </w:t>
            </w:r>
          </w:p>
        </w:tc>
        <w:tc>
          <w:tcPr>
            <w:tcW w:w="1993" w:type="dxa"/>
            <w:tcBorders>
              <w:top w:val="single" w:sz="4" w:space="0" w:color="auto"/>
            </w:tcBorders>
            <w:shd w:val="clear" w:color="auto" w:fill="auto"/>
            <w:noWrap/>
            <w:hideMark/>
          </w:tcPr>
          <w:p w14:paraId="171FBB0C"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(P106,886.86)</w:t>
            </w:r>
          </w:p>
        </w:tc>
      </w:tr>
      <w:tr w:rsidR="004A28F1" w:rsidRPr="004A28F1" w14:paraId="62FBC48C" w14:textId="77777777" w:rsidTr="003043F1">
        <w:trPr>
          <w:trHeight w:val="290"/>
        </w:trPr>
        <w:tc>
          <w:tcPr>
            <w:tcW w:w="1888" w:type="dxa"/>
            <w:shd w:val="clear" w:color="auto" w:fill="auto"/>
            <w:noWrap/>
            <w:hideMark/>
          </w:tcPr>
          <w:p w14:paraId="30101BBE" w14:textId="77777777" w:rsidR="00CD3DAA" w:rsidRPr="004A28F1" w:rsidRDefault="00CD3DAA" w:rsidP="000031D6">
            <w:pPr>
              <w:rPr>
                <w:rFonts w:ascii="Arial" w:hAnsi="Arial" w:cs="Arial"/>
                <w:sz w:val="22"/>
                <w:szCs w:val="22"/>
              </w:rPr>
            </w:pPr>
            <w:r w:rsidRPr="004A28F1">
              <w:rPr>
                <w:rFonts w:ascii="Arial" w:hAnsi="Arial" w:cs="Arial"/>
                <w:sz w:val="22"/>
                <w:szCs w:val="22"/>
              </w:rPr>
              <w:t>Quarter 2</w:t>
            </w:r>
          </w:p>
        </w:tc>
        <w:tc>
          <w:tcPr>
            <w:tcW w:w="2099" w:type="dxa"/>
            <w:shd w:val="clear" w:color="auto" w:fill="auto"/>
            <w:noWrap/>
            <w:hideMark/>
          </w:tcPr>
          <w:p w14:paraId="75051EDD"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1,026,318.00 </w:t>
            </w:r>
          </w:p>
        </w:tc>
        <w:tc>
          <w:tcPr>
            <w:tcW w:w="1888" w:type="dxa"/>
            <w:shd w:val="clear" w:color="auto" w:fill="auto"/>
            <w:noWrap/>
            <w:hideMark/>
          </w:tcPr>
          <w:p w14:paraId="607DF221"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1,189,822.96 </w:t>
            </w:r>
          </w:p>
        </w:tc>
        <w:tc>
          <w:tcPr>
            <w:tcW w:w="1993" w:type="dxa"/>
            <w:shd w:val="clear" w:color="auto" w:fill="auto"/>
            <w:noWrap/>
            <w:hideMark/>
          </w:tcPr>
          <w:p w14:paraId="5ABEC0EA"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(163,504.96)</w:t>
            </w:r>
          </w:p>
        </w:tc>
      </w:tr>
      <w:tr w:rsidR="004A28F1" w:rsidRPr="004A28F1" w14:paraId="0B5220D0" w14:textId="77777777" w:rsidTr="003043F1">
        <w:trPr>
          <w:trHeight w:val="290"/>
        </w:trPr>
        <w:tc>
          <w:tcPr>
            <w:tcW w:w="1888" w:type="dxa"/>
            <w:shd w:val="clear" w:color="auto" w:fill="auto"/>
            <w:noWrap/>
            <w:hideMark/>
          </w:tcPr>
          <w:p w14:paraId="6FB00C24" w14:textId="77777777" w:rsidR="00CD3DAA" w:rsidRPr="004A28F1" w:rsidRDefault="00CD3DAA" w:rsidP="000031D6">
            <w:pPr>
              <w:rPr>
                <w:rFonts w:ascii="Arial" w:hAnsi="Arial" w:cs="Arial"/>
                <w:sz w:val="22"/>
                <w:szCs w:val="22"/>
              </w:rPr>
            </w:pPr>
            <w:r w:rsidRPr="004A28F1">
              <w:rPr>
                <w:rFonts w:ascii="Arial" w:hAnsi="Arial" w:cs="Arial"/>
                <w:sz w:val="22"/>
                <w:szCs w:val="22"/>
              </w:rPr>
              <w:t>Quarter 3</w:t>
            </w:r>
          </w:p>
        </w:tc>
        <w:tc>
          <w:tcPr>
            <w:tcW w:w="2099" w:type="dxa"/>
            <w:shd w:val="clear" w:color="auto" w:fill="auto"/>
            <w:noWrap/>
            <w:hideMark/>
          </w:tcPr>
          <w:p w14:paraId="4FCEC6C0"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2,275,048.17 </w:t>
            </w:r>
          </w:p>
        </w:tc>
        <w:tc>
          <w:tcPr>
            <w:tcW w:w="1888" w:type="dxa"/>
            <w:shd w:val="clear" w:color="auto" w:fill="auto"/>
            <w:noWrap/>
            <w:hideMark/>
          </w:tcPr>
          <w:p w14:paraId="4AAB8F63"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2,465,489.03 </w:t>
            </w:r>
          </w:p>
        </w:tc>
        <w:tc>
          <w:tcPr>
            <w:tcW w:w="1993" w:type="dxa"/>
            <w:shd w:val="clear" w:color="auto" w:fill="auto"/>
            <w:noWrap/>
            <w:hideMark/>
          </w:tcPr>
          <w:p w14:paraId="32A8A86D"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(190,440.86)</w:t>
            </w:r>
          </w:p>
        </w:tc>
      </w:tr>
      <w:tr w:rsidR="004A28F1" w:rsidRPr="004A28F1" w14:paraId="6EAC99F2" w14:textId="77777777" w:rsidTr="003043F1">
        <w:trPr>
          <w:trHeight w:val="290"/>
        </w:trPr>
        <w:tc>
          <w:tcPr>
            <w:tcW w:w="1888" w:type="dxa"/>
            <w:tcBorders>
              <w:bottom w:val="single" w:sz="4" w:space="0" w:color="auto"/>
            </w:tcBorders>
            <w:shd w:val="clear" w:color="auto" w:fill="auto"/>
            <w:noWrap/>
          </w:tcPr>
          <w:p w14:paraId="68C17C6A" w14:textId="77777777" w:rsidR="00CD3DAA" w:rsidRPr="004A28F1" w:rsidRDefault="00CD3DAA" w:rsidP="000031D6">
            <w:pPr>
              <w:rPr>
                <w:rFonts w:ascii="Arial" w:hAnsi="Arial" w:cs="Arial"/>
                <w:sz w:val="22"/>
                <w:szCs w:val="22"/>
              </w:rPr>
            </w:pPr>
            <w:r w:rsidRPr="004A28F1">
              <w:rPr>
                <w:rFonts w:ascii="Arial" w:hAnsi="Arial" w:cs="Arial"/>
                <w:sz w:val="22"/>
                <w:szCs w:val="22"/>
              </w:rPr>
              <w:t>Quarter 4</w:t>
            </w:r>
          </w:p>
        </w:tc>
        <w:tc>
          <w:tcPr>
            <w:tcW w:w="2099" w:type="dxa"/>
            <w:tcBorders>
              <w:bottom w:val="single" w:sz="4" w:space="0" w:color="auto"/>
            </w:tcBorders>
            <w:shd w:val="clear" w:color="auto" w:fill="auto"/>
            <w:noWrap/>
          </w:tcPr>
          <w:p w14:paraId="61CED8D4"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2,969,266.37 </w:t>
            </w:r>
          </w:p>
        </w:tc>
        <w:tc>
          <w:tcPr>
            <w:tcW w:w="1888" w:type="dxa"/>
            <w:tcBorders>
              <w:bottom w:val="single" w:sz="4" w:space="0" w:color="auto"/>
            </w:tcBorders>
            <w:shd w:val="clear" w:color="auto" w:fill="auto"/>
            <w:noWrap/>
          </w:tcPr>
          <w:p w14:paraId="5761338D"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3,005,251.45 </w:t>
            </w:r>
          </w:p>
        </w:tc>
        <w:tc>
          <w:tcPr>
            <w:tcW w:w="1993" w:type="dxa"/>
            <w:tcBorders>
              <w:bottom w:val="single" w:sz="4" w:space="0" w:color="auto"/>
            </w:tcBorders>
            <w:shd w:val="clear" w:color="auto" w:fill="auto"/>
            <w:noWrap/>
          </w:tcPr>
          <w:p w14:paraId="47038FB3"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(35,985.08)</w:t>
            </w:r>
          </w:p>
        </w:tc>
      </w:tr>
      <w:tr w:rsidR="004A28F1" w:rsidRPr="004A28F1" w14:paraId="397B1203" w14:textId="77777777" w:rsidTr="003043F1">
        <w:trPr>
          <w:trHeight w:val="290"/>
        </w:trPr>
        <w:tc>
          <w:tcPr>
            <w:tcW w:w="1888" w:type="dxa"/>
            <w:tcBorders>
              <w:top w:val="single" w:sz="4" w:space="0" w:color="auto"/>
            </w:tcBorders>
            <w:shd w:val="clear" w:color="auto" w:fill="auto"/>
            <w:noWrap/>
            <w:vAlign w:val="bottom"/>
          </w:tcPr>
          <w:p w14:paraId="6E9AC389" w14:textId="61B7CEB4" w:rsidR="00CD3DAA" w:rsidRPr="004A28F1" w:rsidRDefault="0085158A" w:rsidP="000031D6">
            <w:pPr>
              <w:rPr>
                <w:rFonts w:ascii="Arial" w:hAnsi="Arial" w:cs="Arial"/>
                <w:bCs/>
                <w:sz w:val="22"/>
                <w:szCs w:val="22"/>
              </w:rPr>
            </w:pPr>
            <w:r w:rsidRPr="004A28F1">
              <w:rPr>
                <w:rFonts w:ascii="Arial" w:hAnsi="Arial" w:cs="Arial"/>
                <w:bCs/>
                <w:sz w:val="22"/>
                <w:szCs w:val="22"/>
              </w:rPr>
              <w:t>Sub-total</w:t>
            </w:r>
          </w:p>
        </w:tc>
        <w:tc>
          <w:tcPr>
            <w:tcW w:w="2099" w:type="dxa"/>
            <w:tcBorders>
              <w:top w:val="single" w:sz="4" w:space="0" w:color="auto"/>
            </w:tcBorders>
            <w:shd w:val="clear" w:color="auto" w:fill="auto"/>
            <w:noWrap/>
          </w:tcPr>
          <w:p w14:paraId="424C4AE4" w14:textId="77777777" w:rsidR="00CD3DAA" w:rsidRPr="004A28F1" w:rsidRDefault="00CD3DAA" w:rsidP="000031D6">
            <w:pPr>
              <w:jc w:val="right"/>
              <w:rPr>
                <w:rFonts w:ascii="Arial" w:hAnsi="Arial" w:cs="Arial"/>
                <w:bCs/>
                <w:sz w:val="22"/>
                <w:szCs w:val="22"/>
              </w:rPr>
            </w:pPr>
            <w:r w:rsidRPr="004A28F1">
              <w:rPr>
                <w:rFonts w:ascii="Arial" w:hAnsi="Arial" w:cs="Arial"/>
                <w:sz w:val="22"/>
                <w:szCs w:val="22"/>
              </w:rPr>
              <w:t xml:space="preserve"> 6,538,116.04 </w:t>
            </w:r>
          </w:p>
        </w:tc>
        <w:tc>
          <w:tcPr>
            <w:tcW w:w="1888" w:type="dxa"/>
            <w:tcBorders>
              <w:top w:val="single" w:sz="4" w:space="0" w:color="auto"/>
            </w:tcBorders>
            <w:shd w:val="clear" w:color="auto" w:fill="auto"/>
            <w:noWrap/>
          </w:tcPr>
          <w:p w14:paraId="03E1EADE" w14:textId="77777777" w:rsidR="00CD3DAA" w:rsidRPr="004A28F1" w:rsidRDefault="00CD3DAA" w:rsidP="000031D6">
            <w:pPr>
              <w:jc w:val="right"/>
              <w:rPr>
                <w:rFonts w:ascii="Arial" w:hAnsi="Arial" w:cs="Arial"/>
                <w:bCs/>
                <w:sz w:val="22"/>
                <w:szCs w:val="22"/>
              </w:rPr>
            </w:pPr>
            <w:r w:rsidRPr="004A28F1">
              <w:rPr>
                <w:rFonts w:ascii="Arial" w:hAnsi="Arial" w:cs="Arial"/>
                <w:sz w:val="22"/>
                <w:szCs w:val="22"/>
              </w:rPr>
              <w:t xml:space="preserve"> 7,034,933.80 </w:t>
            </w:r>
          </w:p>
        </w:tc>
        <w:tc>
          <w:tcPr>
            <w:tcW w:w="1993" w:type="dxa"/>
            <w:tcBorders>
              <w:top w:val="single" w:sz="4" w:space="0" w:color="auto"/>
            </w:tcBorders>
            <w:shd w:val="clear" w:color="auto" w:fill="auto"/>
            <w:noWrap/>
          </w:tcPr>
          <w:p w14:paraId="0CFBF88E" w14:textId="77777777" w:rsidR="00CD3DAA" w:rsidRPr="004A28F1" w:rsidRDefault="00CD3DAA" w:rsidP="000031D6">
            <w:pPr>
              <w:jc w:val="right"/>
              <w:rPr>
                <w:rFonts w:ascii="Arial" w:hAnsi="Arial" w:cs="Arial"/>
                <w:bCs/>
                <w:sz w:val="22"/>
                <w:szCs w:val="22"/>
              </w:rPr>
            </w:pPr>
            <w:r w:rsidRPr="004A28F1">
              <w:rPr>
                <w:rFonts w:ascii="Arial" w:hAnsi="Arial" w:cs="Arial"/>
                <w:sz w:val="22"/>
                <w:szCs w:val="22"/>
              </w:rPr>
              <w:t xml:space="preserve"> (496,817.76)</w:t>
            </w:r>
          </w:p>
        </w:tc>
      </w:tr>
      <w:tr w:rsidR="004A28F1" w:rsidRPr="004A28F1" w14:paraId="5FE76E50" w14:textId="77777777" w:rsidTr="003043F1">
        <w:trPr>
          <w:trHeight w:val="356"/>
        </w:trPr>
        <w:tc>
          <w:tcPr>
            <w:tcW w:w="1888" w:type="dxa"/>
            <w:tcBorders>
              <w:top w:val="single" w:sz="4" w:space="0" w:color="auto"/>
              <w:bottom w:val="single" w:sz="4" w:space="0" w:color="auto"/>
            </w:tcBorders>
            <w:shd w:val="clear" w:color="auto" w:fill="auto"/>
            <w:noWrap/>
            <w:vAlign w:val="center"/>
            <w:hideMark/>
          </w:tcPr>
          <w:p w14:paraId="348262A6" w14:textId="77777777" w:rsidR="00CD3DAA" w:rsidRPr="004A28F1" w:rsidRDefault="00CD3DAA" w:rsidP="000A2595">
            <w:pPr>
              <w:jc w:val="center"/>
              <w:rPr>
                <w:rFonts w:ascii="Arial" w:hAnsi="Arial" w:cs="Arial"/>
                <w:b/>
                <w:sz w:val="22"/>
                <w:szCs w:val="22"/>
                <w:lang w:val="en-PH" w:eastAsia="en-PH"/>
              </w:rPr>
            </w:pPr>
            <w:r w:rsidRPr="004A28F1">
              <w:rPr>
                <w:rFonts w:ascii="Arial" w:hAnsi="Arial" w:cs="Arial"/>
                <w:b/>
                <w:sz w:val="22"/>
                <w:szCs w:val="22"/>
                <w:lang w:val="en-PH" w:eastAsia="en-PH"/>
              </w:rPr>
              <w:t>2021</w:t>
            </w:r>
          </w:p>
        </w:tc>
        <w:tc>
          <w:tcPr>
            <w:tcW w:w="2099" w:type="dxa"/>
            <w:tcBorders>
              <w:top w:val="single" w:sz="4" w:space="0" w:color="auto"/>
              <w:bottom w:val="single" w:sz="4" w:space="0" w:color="auto"/>
            </w:tcBorders>
            <w:shd w:val="clear" w:color="auto" w:fill="auto"/>
            <w:noWrap/>
            <w:vAlign w:val="center"/>
          </w:tcPr>
          <w:p w14:paraId="090F38CC" w14:textId="77777777" w:rsidR="00CD3DAA" w:rsidRPr="004A28F1" w:rsidRDefault="00CD3DAA" w:rsidP="000031D6">
            <w:pPr>
              <w:jc w:val="center"/>
              <w:rPr>
                <w:rFonts w:ascii="Arial" w:hAnsi="Arial" w:cs="Arial"/>
                <w:b/>
                <w:bCs/>
                <w:sz w:val="22"/>
                <w:szCs w:val="22"/>
              </w:rPr>
            </w:pPr>
          </w:p>
        </w:tc>
        <w:tc>
          <w:tcPr>
            <w:tcW w:w="1888" w:type="dxa"/>
            <w:tcBorders>
              <w:top w:val="single" w:sz="4" w:space="0" w:color="auto"/>
              <w:bottom w:val="single" w:sz="4" w:space="0" w:color="auto"/>
            </w:tcBorders>
            <w:shd w:val="clear" w:color="auto" w:fill="auto"/>
            <w:noWrap/>
            <w:vAlign w:val="center"/>
          </w:tcPr>
          <w:p w14:paraId="2802B052" w14:textId="77777777" w:rsidR="00CD3DAA" w:rsidRPr="004A28F1" w:rsidRDefault="00CD3DAA" w:rsidP="000031D6">
            <w:pPr>
              <w:jc w:val="center"/>
              <w:rPr>
                <w:rFonts w:ascii="Arial" w:hAnsi="Arial" w:cs="Arial"/>
                <w:b/>
                <w:bCs/>
                <w:sz w:val="22"/>
                <w:szCs w:val="22"/>
              </w:rPr>
            </w:pPr>
          </w:p>
        </w:tc>
        <w:tc>
          <w:tcPr>
            <w:tcW w:w="1993" w:type="dxa"/>
            <w:tcBorders>
              <w:top w:val="single" w:sz="4" w:space="0" w:color="auto"/>
              <w:bottom w:val="single" w:sz="4" w:space="0" w:color="auto"/>
            </w:tcBorders>
            <w:shd w:val="clear" w:color="auto" w:fill="auto"/>
            <w:vAlign w:val="center"/>
          </w:tcPr>
          <w:p w14:paraId="0A32F4D6" w14:textId="77777777" w:rsidR="00CD3DAA" w:rsidRPr="004A28F1" w:rsidRDefault="00CD3DAA" w:rsidP="000031D6">
            <w:pPr>
              <w:jc w:val="center"/>
              <w:rPr>
                <w:rFonts w:ascii="Arial" w:hAnsi="Arial" w:cs="Arial"/>
                <w:b/>
                <w:bCs/>
                <w:sz w:val="22"/>
                <w:szCs w:val="22"/>
              </w:rPr>
            </w:pPr>
          </w:p>
        </w:tc>
      </w:tr>
      <w:tr w:rsidR="004A28F1" w:rsidRPr="004A28F1" w14:paraId="0F17437D" w14:textId="77777777" w:rsidTr="003043F1">
        <w:trPr>
          <w:trHeight w:val="290"/>
        </w:trPr>
        <w:tc>
          <w:tcPr>
            <w:tcW w:w="1888" w:type="dxa"/>
            <w:tcBorders>
              <w:top w:val="single" w:sz="4" w:space="0" w:color="auto"/>
            </w:tcBorders>
            <w:shd w:val="clear" w:color="auto" w:fill="auto"/>
            <w:noWrap/>
            <w:hideMark/>
          </w:tcPr>
          <w:p w14:paraId="4C7FD239" w14:textId="77777777" w:rsidR="00CD3DAA" w:rsidRPr="004A28F1" w:rsidRDefault="00CD3DAA" w:rsidP="000031D6">
            <w:pPr>
              <w:rPr>
                <w:rFonts w:ascii="Arial" w:hAnsi="Arial" w:cs="Arial"/>
                <w:sz w:val="22"/>
                <w:szCs w:val="22"/>
              </w:rPr>
            </w:pPr>
            <w:r w:rsidRPr="004A28F1">
              <w:rPr>
                <w:rFonts w:ascii="Arial" w:hAnsi="Arial" w:cs="Arial"/>
                <w:sz w:val="22"/>
                <w:szCs w:val="22"/>
              </w:rPr>
              <w:t xml:space="preserve">Quarter 1 </w:t>
            </w:r>
          </w:p>
        </w:tc>
        <w:tc>
          <w:tcPr>
            <w:tcW w:w="2099" w:type="dxa"/>
            <w:tcBorders>
              <w:top w:val="single" w:sz="4" w:space="0" w:color="auto"/>
            </w:tcBorders>
            <w:shd w:val="clear" w:color="auto" w:fill="auto"/>
            <w:noWrap/>
            <w:hideMark/>
          </w:tcPr>
          <w:p w14:paraId="5EB0A268"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12,160.56 </w:t>
            </w:r>
          </w:p>
        </w:tc>
        <w:tc>
          <w:tcPr>
            <w:tcW w:w="1888" w:type="dxa"/>
            <w:tcBorders>
              <w:top w:val="single" w:sz="4" w:space="0" w:color="auto"/>
            </w:tcBorders>
            <w:shd w:val="clear" w:color="auto" w:fill="auto"/>
            <w:noWrap/>
            <w:hideMark/>
          </w:tcPr>
          <w:p w14:paraId="3953577C"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15,803.50 </w:t>
            </w:r>
          </w:p>
        </w:tc>
        <w:tc>
          <w:tcPr>
            <w:tcW w:w="1993" w:type="dxa"/>
            <w:tcBorders>
              <w:top w:val="single" w:sz="4" w:space="0" w:color="auto"/>
            </w:tcBorders>
            <w:shd w:val="clear" w:color="auto" w:fill="auto"/>
            <w:noWrap/>
            <w:hideMark/>
          </w:tcPr>
          <w:p w14:paraId="4D4FF282"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(3,642.94)</w:t>
            </w:r>
          </w:p>
        </w:tc>
      </w:tr>
      <w:tr w:rsidR="004A28F1" w:rsidRPr="004A28F1" w14:paraId="46513F39" w14:textId="77777777" w:rsidTr="003043F1">
        <w:trPr>
          <w:trHeight w:val="290"/>
        </w:trPr>
        <w:tc>
          <w:tcPr>
            <w:tcW w:w="1888" w:type="dxa"/>
            <w:shd w:val="clear" w:color="auto" w:fill="auto"/>
            <w:noWrap/>
            <w:hideMark/>
          </w:tcPr>
          <w:p w14:paraId="0A84D939" w14:textId="77777777" w:rsidR="00CD3DAA" w:rsidRPr="004A28F1" w:rsidRDefault="00CD3DAA" w:rsidP="000031D6">
            <w:pPr>
              <w:rPr>
                <w:rFonts w:ascii="Arial" w:hAnsi="Arial" w:cs="Arial"/>
                <w:sz w:val="22"/>
                <w:szCs w:val="22"/>
              </w:rPr>
            </w:pPr>
            <w:r w:rsidRPr="004A28F1">
              <w:rPr>
                <w:rFonts w:ascii="Arial" w:hAnsi="Arial" w:cs="Arial"/>
                <w:sz w:val="22"/>
                <w:szCs w:val="22"/>
              </w:rPr>
              <w:t>Quarter 2</w:t>
            </w:r>
          </w:p>
        </w:tc>
        <w:tc>
          <w:tcPr>
            <w:tcW w:w="2099" w:type="dxa"/>
            <w:shd w:val="clear" w:color="auto" w:fill="auto"/>
            <w:noWrap/>
            <w:hideMark/>
          </w:tcPr>
          <w:p w14:paraId="258E05C6"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12,024.93 </w:t>
            </w:r>
          </w:p>
        </w:tc>
        <w:tc>
          <w:tcPr>
            <w:tcW w:w="1888" w:type="dxa"/>
            <w:shd w:val="clear" w:color="auto" w:fill="auto"/>
            <w:noWrap/>
            <w:hideMark/>
          </w:tcPr>
          <w:p w14:paraId="54803AE5"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16,834.90 </w:t>
            </w:r>
          </w:p>
        </w:tc>
        <w:tc>
          <w:tcPr>
            <w:tcW w:w="1993" w:type="dxa"/>
            <w:shd w:val="clear" w:color="auto" w:fill="auto"/>
            <w:noWrap/>
            <w:hideMark/>
          </w:tcPr>
          <w:p w14:paraId="56604559"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(4,809.97)</w:t>
            </w:r>
          </w:p>
        </w:tc>
      </w:tr>
      <w:tr w:rsidR="004A28F1" w:rsidRPr="004A28F1" w14:paraId="3FF6CF2C" w14:textId="77777777" w:rsidTr="003043F1">
        <w:trPr>
          <w:trHeight w:val="290"/>
        </w:trPr>
        <w:tc>
          <w:tcPr>
            <w:tcW w:w="1888" w:type="dxa"/>
            <w:shd w:val="clear" w:color="auto" w:fill="auto"/>
            <w:noWrap/>
            <w:hideMark/>
          </w:tcPr>
          <w:p w14:paraId="35F34A05" w14:textId="77777777" w:rsidR="00CD3DAA" w:rsidRPr="004A28F1" w:rsidRDefault="00CD3DAA" w:rsidP="000031D6">
            <w:pPr>
              <w:rPr>
                <w:rFonts w:ascii="Arial" w:hAnsi="Arial" w:cs="Arial"/>
                <w:sz w:val="22"/>
                <w:szCs w:val="22"/>
              </w:rPr>
            </w:pPr>
            <w:r w:rsidRPr="004A28F1">
              <w:rPr>
                <w:rFonts w:ascii="Arial" w:hAnsi="Arial" w:cs="Arial"/>
                <w:sz w:val="22"/>
                <w:szCs w:val="22"/>
              </w:rPr>
              <w:t>Quarter 3</w:t>
            </w:r>
          </w:p>
        </w:tc>
        <w:tc>
          <w:tcPr>
            <w:tcW w:w="2099" w:type="dxa"/>
            <w:shd w:val="clear" w:color="auto" w:fill="auto"/>
            <w:noWrap/>
            <w:hideMark/>
          </w:tcPr>
          <w:p w14:paraId="516B7343"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213,014.78 </w:t>
            </w:r>
          </w:p>
        </w:tc>
        <w:tc>
          <w:tcPr>
            <w:tcW w:w="1888" w:type="dxa"/>
            <w:shd w:val="clear" w:color="auto" w:fill="auto"/>
            <w:noWrap/>
            <w:hideMark/>
          </w:tcPr>
          <w:p w14:paraId="2231BC31"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298,220.69 </w:t>
            </w:r>
          </w:p>
        </w:tc>
        <w:tc>
          <w:tcPr>
            <w:tcW w:w="1993" w:type="dxa"/>
            <w:shd w:val="clear" w:color="auto" w:fill="auto"/>
            <w:noWrap/>
            <w:hideMark/>
          </w:tcPr>
          <w:p w14:paraId="690D5806"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(85,205.91)</w:t>
            </w:r>
          </w:p>
        </w:tc>
      </w:tr>
      <w:tr w:rsidR="004A28F1" w:rsidRPr="004A28F1" w14:paraId="5C499381" w14:textId="77777777" w:rsidTr="003043F1">
        <w:trPr>
          <w:trHeight w:val="290"/>
        </w:trPr>
        <w:tc>
          <w:tcPr>
            <w:tcW w:w="1888" w:type="dxa"/>
            <w:tcBorders>
              <w:bottom w:val="single" w:sz="4" w:space="0" w:color="auto"/>
            </w:tcBorders>
            <w:shd w:val="clear" w:color="auto" w:fill="auto"/>
            <w:noWrap/>
          </w:tcPr>
          <w:p w14:paraId="7A76A186" w14:textId="77777777" w:rsidR="00CD3DAA" w:rsidRPr="004A28F1" w:rsidRDefault="00CD3DAA" w:rsidP="000031D6">
            <w:pPr>
              <w:rPr>
                <w:rFonts w:ascii="Arial" w:hAnsi="Arial" w:cs="Arial"/>
                <w:sz w:val="22"/>
                <w:szCs w:val="22"/>
              </w:rPr>
            </w:pPr>
            <w:r w:rsidRPr="004A28F1">
              <w:rPr>
                <w:rFonts w:ascii="Arial" w:hAnsi="Arial" w:cs="Arial"/>
                <w:sz w:val="22"/>
                <w:szCs w:val="22"/>
              </w:rPr>
              <w:t>Quarter 4</w:t>
            </w:r>
          </w:p>
        </w:tc>
        <w:tc>
          <w:tcPr>
            <w:tcW w:w="2099" w:type="dxa"/>
            <w:tcBorders>
              <w:bottom w:val="single" w:sz="4" w:space="0" w:color="auto"/>
            </w:tcBorders>
            <w:shd w:val="clear" w:color="auto" w:fill="auto"/>
            <w:noWrap/>
          </w:tcPr>
          <w:p w14:paraId="341F8A04"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230,783.44 </w:t>
            </w:r>
          </w:p>
        </w:tc>
        <w:tc>
          <w:tcPr>
            <w:tcW w:w="1888" w:type="dxa"/>
            <w:tcBorders>
              <w:bottom w:val="single" w:sz="4" w:space="0" w:color="auto"/>
            </w:tcBorders>
            <w:shd w:val="clear" w:color="auto" w:fill="auto"/>
            <w:noWrap/>
          </w:tcPr>
          <w:p w14:paraId="38FE8A81"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324,751.89 </w:t>
            </w:r>
          </w:p>
        </w:tc>
        <w:tc>
          <w:tcPr>
            <w:tcW w:w="1993" w:type="dxa"/>
            <w:tcBorders>
              <w:bottom w:val="single" w:sz="4" w:space="0" w:color="auto"/>
            </w:tcBorders>
            <w:shd w:val="clear" w:color="auto" w:fill="auto"/>
            <w:noWrap/>
          </w:tcPr>
          <w:p w14:paraId="1814428B"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 xml:space="preserve"> (93,968.45)</w:t>
            </w:r>
          </w:p>
        </w:tc>
      </w:tr>
      <w:tr w:rsidR="004A28F1" w:rsidRPr="004A28F1" w14:paraId="06934CA3" w14:textId="77777777" w:rsidTr="003043F1">
        <w:trPr>
          <w:trHeight w:val="290"/>
        </w:trPr>
        <w:tc>
          <w:tcPr>
            <w:tcW w:w="1888" w:type="dxa"/>
            <w:tcBorders>
              <w:top w:val="single" w:sz="4" w:space="0" w:color="auto"/>
              <w:bottom w:val="single" w:sz="4" w:space="0" w:color="auto"/>
            </w:tcBorders>
            <w:shd w:val="clear" w:color="auto" w:fill="auto"/>
            <w:noWrap/>
          </w:tcPr>
          <w:p w14:paraId="0DACA0DF" w14:textId="6381BFB5" w:rsidR="00CD3DAA" w:rsidRPr="004A28F1" w:rsidRDefault="0085158A" w:rsidP="000031D6">
            <w:pPr>
              <w:rPr>
                <w:rFonts w:ascii="Arial" w:hAnsi="Arial" w:cs="Arial"/>
                <w:bCs/>
                <w:sz w:val="22"/>
                <w:szCs w:val="22"/>
              </w:rPr>
            </w:pPr>
            <w:r w:rsidRPr="004A28F1">
              <w:rPr>
                <w:rFonts w:ascii="Arial" w:hAnsi="Arial" w:cs="Arial"/>
                <w:sz w:val="22"/>
                <w:szCs w:val="22"/>
              </w:rPr>
              <w:t>Sub-total</w:t>
            </w:r>
          </w:p>
        </w:tc>
        <w:tc>
          <w:tcPr>
            <w:tcW w:w="2099" w:type="dxa"/>
            <w:tcBorders>
              <w:top w:val="single" w:sz="4" w:space="0" w:color="auto"/>
              <w:bottom w:val="single" w:sz="4" w:space="0" w:color="auto"/>
            </w:tcBorders>
            <w:shd w:val="clear" w:color="auto" w:fill="auto"/>
            <w:noWrap/>
          </w:tcPr>
          <w:p w14:paraId="32A438CB" w14:textId="77777777" w:rsidR="00CD3DAA" w:rsidRPr="004A28F1" w:rsidRDefault="00CD3DAA" w:rsidP="000031D6">
            <w:pPr>
              <w:jc w:val="right"/>
              <w:rPr>
                <w:rFonts w:ascii="Arial" w:hAnsi="Arial" w:cs="Arial"/>
                <w:bCs/>
                <w:sz w:val="22"/>
                <w:szCs w:val="22"/>
              </w:rPr>
            </w:pPr>
            <w:r w:rsidRPr="004A28F1">
              <w:rPr>
                <w:rFonts w:ascii="Arial" w:hAnsi="Arial" w:cs="Arial"/>
                <w:sz w:val="22"/>
                <w:szCs w:val="22"/>
              </w:rPr>
              <w:t xml:space="preserve"> 467,983.71 </w:t>
            </w:r>
          </w:p>
        </w:tc>
        <w:tc>
          <w:tcPr>
            <w:tcW w:w="1888" w:type="dxa"/>
            <w:tcBorders>
              <w:top w:val="single" w:sz="4" w:space="0" w:color="auto"/>
              <w:bottom w:val="single" w:sz="4" w:space="0" w:color="auto"/>
            </w:tcBorders>
            <w:shd w:val="clear" w:color="auto" w:fill="auto"/>
            <w:noWrap/>
          </w:tcPr>
          <w:p w14:paraId="61239CE9" w14:textId="77777777" w:rsidR="00CD3DAA" w:rsidRPr="004A28F1" w:rsidRDefault="00CD3DAA" w:rsidP="000031D6">
            <w:pPr>
              <w:jc w:val="right"/>
              <w:rPr>
                <w:rFonts w:ascii="Arial" w:hAnsi="Arial" w:cs="Arial"/>
                <w:bCs/>
                <w:sz w:val="22"/>
                <w:szCs w:val="22"/>
              </w:rPr>
            </w:pPr>
            <w:r w:rsidRPr="004A28F1">
              <w:rPr>
                <w:rFonts w:ascii="Arial" w:hAnsi="Arial" w:cs="Arial"/>
                <w:sz w:val="22"/>
                <w:szCs w:val="22"/>
              </w:rPr>
              <w:t xml:space="preserve"> 655,610.98 </w:t>
            </w:r>
          </w:p>
        </w:tc>
        <w:tc>
          <w:tcPr>
            <w:tcW w:w="1993" w:type="dxa"/>
            <w:tcBorders>
              <w:top w:val="single" w:sz="4" w:space="0" w:color="auto"/>
              <w:bottom w:val="single" w:sz="4" w:space="0" w:color="auto"/>
            </w:tcBorders>
            <w:shd w:val="clear" w:color="auto" w:fill="auto"/>
            <w:noWrap/>
          </w:tcPr>
          <w:p w14:paraId="2E477654" w14:textId="77777777" w:rsidR="00CD3DAA" w:rsidRPr="004A28F1" w:rsidRDefault="00CD3DAA" w:rsidP="000031D6">
            <w:pPr>
              <w:jc w:val="right"/>
              <w:rPr>
                <w:rFonts w:ascii="Arial" w:hAnsi="Arial" w:cs="Arial"/>
                <w:bCs/>
                <w:sz w:val="22"/>
                <w:szCs w:val="22"/>
              </w:rPr>
            </w:pPr>
            <w:r w:rsidRPr="004A28F1">
              <w:rPr>
                <w:rFonts w:ascii="Arial" w:hAnsi="Arial" w:cs="Arial"/>
                <w:sz w:val="22"/>
                <w:szCs w:val="22"/>
              </w:rPr>
              <w:t xml:space="preserve"> (187,627.27)</w:t>
            </w:r>
          </w:p>
        </w:tc>
      </w:tr>
      <w:tr w:rsidR="004A28F1" w:rsidRPr="004A28F1" w14:paraId="2B8A8A81" w14:textId="77777777" w:rsidTr="003043F1">
        <w:trPr>
          <w:trHeight w:val="290"/>
        </w:trPr>
        <w:tc>
          <w:tcPr>
            <w:tcW w:w="3987" w:type="dxa"/>
            <w:gridSpan w:val="2"/>
            <w:tcBorders>
              <w:top w:val="single" w:sz="4" w:space="0" w:color="auto"/>
              <w:bottom w:val="single" w:sz="4" w:space="0" w:color="auto"/>
            </w:tcBorders>
            <w:shd w:val="clear" w:color="auto" w:fill="auto"/>
            <w:noWrap/>
          </w:tcPr>
          <w:p w14:paraId="5BEFADB4" w14:textId="77777777" w:rsidR="00CD3DAA" w:rsidRPr="004A28F1" w:rsidRDefault="00CD3DAA" w:rsidP="000031D6">
            <w:pPr>
              <w:rPr>
                <w:rFonts w:ascii="Arial" w:hAnsi="Arial" w:cs="Arial"/>
                <w:sz w:val="22"/>
                <w:szCs w:val="22"/>
              </w:rPr>
            </w:pPr>
            <w:r w:rsidRPr="004A28F1">
              <w:rPr>
                <w:rFonts w:ascii="Arial" w:hAnsi="Arial" w:cs="Arial"/>
                <w:sz w:val="22"/>
                <w:szCs w:val="22"/>
              </w:rPr>
              <w:t>Grand Total</w:t>
            </w:r>
          </w:p>
        </w:tc>
        <w:tc>
          <w:tcPr>
            <w:tcW w:w="1888" w:type="dxa"/>
            <w:tcBorders>
              <w:top w:val="single" w:sz="4" w:space="0" w:color="auto"/>
              <w:bottom w:val="single" w:sz="4" w:space="0" w:color="auto"/>
            </w:tcBorders>
            <w:shd w:val="clear" w:color="auto" w:fill="auto"/>
            <w:noWrap/>
          </w:tcPr>
          <w:p w14:paraId="14E7BDD7" w14:textId="77777777" w:rsidR="00CD3DAA" w:rsidRPr="004A28F1" w:rsidRDefault="00CD3DAA" w:rsidP="000031D6">
            <w:pPr>
              <w:jc w:val="right"/>
              <w:rPr>
                <w:rFonts w:ascii="Arial" w:hAnsi="Arial" w:cs="Arial"/>
                <w:sz w:val="22"/>
                <w:szCs w:val="22"/>
              </w:rPr>
            </w:pPr>
          </w:p>
        </w:tc>
        <w:tc>
          <w:tcPr>
            <w:tcW w:w="1993" w:type="dxa"/>
            <w:tcBorders>
              <w:top w:val="single" w:sz="4" w:space="0" w:color="auto"/>
              <w:bottom w:val="single" w:sz="4" w:space="0" w:color="auto"/>
            </w:tcBorders>
            <w:shd w:val="clear" w:color="auto" w:fill="auto"/>
            <w:noWrap/>
          </w:tcPr>
          <w:p w14:paraId="196AA6B7" w14:textId="77777777" w:rsidR="00CD3DAA" w:rsidRPr="004A28F1" w:rsidRDefault="00CD3DAA" w:rsidP="000031D6">
            <w:pPr>
              <w:jc w:val="right"/>
              <w:rPr>
                <w:rFonts w:ascii="Arial" w:hAnsi="Arial" w:cs="Arial"/>
                <w:sz w:val="22"/>
                <w:szCs w:val="22"/>
              </w:rPr>
            </w:pPr>
            <w:r w:rsidRPr="004A28F1">
              <w:rPr>
                <w:rFonts w:ascii="Arial" w:hAnsi="Arial" w:cs="Arial"/>
                <w:sz w:val="22"/>
                <w:szCs w:val="22"/>
              </w:rPr>
              <w:t>(P684,445.04)</w:t>
            </w:r>
          </w:p>
        </w:tc>
      </w:tr>
    </w:tbl>
    <w:p w14:paraId="7CF05066" w14:textId="77777777" w:rsidR="00CD3DAA" w:rsidRPr="004A28F1" w:rsidRDefault="00CD3DAA" w:rsidP="00CD3DAA">
      <w:pPr>
        <w:shd w:val="clear" w:color="auto" w:fill="FFFFFF"/>
        <w:contextualSpacing/>
        <w:jc w:val="both"/>
        <w:rPr>
          <w:rFonts w:ascii="Arial" w:hAnsi="Arial" w:cs="Arial"/>
          <w:sz w:val="22"/>
          <w:szCs w:val="22"/>
        </w:rPr>
      </w:pPr>
    </w:p>
    <w:p w14:paraId="2A495B95" w14:textId="751F0E02" w:rsidR="00CD3DAA" w:rsidRPr="004A28F1" w:rsidRDefault="00A955B8" w:rsidP="00E2290C">
      <w:pPr>
        <w:pStyle w:val="ListParagraph"/>
        <w:tabs>
          <w:tab w:val="left" w:pos="0"/>
        </w:tabs>
        <w:spacing w:after="20"/>
        <w:ind w:left="0"/>
        <w:jc w:val="both"/>
        <w:rPr>
          <w:rFonts w:ascii="Arial" w:hAnsi="Arial" w:cs="Arial"/>
          <w:sz w:val="22"/>
          <w:szCs w:val="22"/>
        </w:rPr>
      </w:pPr>
      <w:r w:rsidRPr="004A28F1">
        <w:rPr>
          <w:rFonts w:ascii="Arial" w:hAnsi="Arial" w:cs="Arial"/>
          <w:sz w:val="22"/>
          <w:szCs w:val="22"/>
        </w:rPr>
        <w:t>2.6</w:t>
      </w:r>
      <w:r w:rsidRPr="004A28F1">
        <w:rPr>
          <w:rFonts w:ascii="Arial" w:hAnsi="Arial" w:cs="Arial"/>
          <w:sz w:val="22"/>
          <w:szCs w:val="22"/>
        </w:rPr>
        <w:tab/>
      </w:r>
      <w:r w:rsidR="005A7B4C" w:rsidRPr="004A28F1">
        <w:rPr>
          <w:rFonts w:ascii="Arial" w:hAnsi="Arial" w:cs="Arial"/>
          <w:sz w:val="22"/>
          <w:szCs w:val="22"/>
        </w:rPr>
        <w:t>For n</w:t>
      </w:r>
      <w:r w:rsidR="00CD3DAA" w:rsidRPr="004A28F1">
        <w:rPr>
          <w:rFonts w:ascii="Arial" w:hAnsi="Arial" w:cs="Arial"/>
          <w:sz w:val="22"/>
          <w:szCs w:val="22"/>
        </w:rPr>
        <w:t>on-compliance to Sec</w:t>
      </w:r>
      <w:r w:rsidR="005A7B4C" w:rsidRPr="004A28F1">
        <w:rPr>
          <w:rFonts w:ascii="Arial" w:hAnsi="Arial" w:cs="Arial"/>
          <w:sz w:val="22"/>
          <w:szCs w:val="22"/>
        </w:rPr>
        <w:t>tion</w:t>
      </w:r>
      <w:r w:rsidR="00CD3DAA" w:rsidRPr="004A28F1">
        <w:rPr>
          <w:rFonts w:ascii="Arial" w:hAnsi="Arial" w:cs="Arial"/>
          <w:sz w:val="22"/>
          <w:szCs w:val="22"/>
        </w:rPr>
        <w:t xml:space="preserve"> 121 of NIRC of 1997</w:t>
      </w:r>
      <w:r w:rsidR="005A7B4C" w:rsidRPr="004A28F1">
        <w:rPr>
          <w:rFonts w:ascii="Arial" w:hAnsi="Arial" w:cs="Arial"/>
          <w:sz w:val="22"/>
          <w:szCs w:val="22"/>
        </w:rPr>
        <w:t xml:space="preserve">, the </w:t>
      </w:r>
      <w:r w:rsidR="00CD3DAA" w:rsidRPr="004A28F1">
        <w:rPr>
          <w:rFonts w:ascii="Arial" w:hAnsi="Arial" w:cs="Arial"/>
          <w:sz w:val="22"/>
          <w:szCs w:val="22"/>
        </w:rPr>
        <w:t xml:space="preserve">OFB </w:t>
      </w:r>
      <w:r w:rsidR="005A7B4C" w:rsidRPr="004A28F1">
        <w:rPr>
          <w:rFonts w:ascii="Arial" w:hAnsi="Arial" w:cs="Arial"/>
          <w:sz w:val="22"/>
          <w:szCs w:val="22"/>
        </w:rPr>
        <w:t xml:space="preserve">may be subjected </w:t>
      </w:r>
      <w:r w:rsidR="00CD3DAA" w:rsidRPr="004A28F1">
        <w:rPr>
          <w:rFonts w:ascii="Arial" w:hAnsi="Arial" w:cs="Arial"/>
          <w:sz w:val="22"/>
          <w:szCs w:val="22"/>
        </w:rPr>
        <w:t>to 25</w:t>
      </w:r>
      <w:r w:rsidR="005A7B4C" w:rsidRPr="004A28F1">
        <w:rPr>
          <w:rFonts w:ascii="Arial" w:hAnsi="Arial" w:cs="Arial"/>
          <w:sz w:val="22"/>
          <w:szCs w:val="22"/>
        </w:rPr>
        <w:t xml:space="preserve"> per cent</w:t>
      </w:r>
      <w:r w:rsidR="00CD3DAA" w:rsidRPr="004A28F1">
        <w:rPr>
          <w:rFonts w:ascii="Arial" w:hAnsi="Arial" w:cs="Arial"/>
          <w:sz w:val="22"/>
          <w:szCs w:val="22"/>
        </w:rPr>
        <w:t xml:space="preserve"> surcharge on </w:t>
      </w:r>
      <w:r w:rsidR="005A7B4C" w:rsidRPr="004A28F1">
        <w:rPr>
          <w:rFonts w:ascii="Arial" w:hAnsi="Arial" w:cs="Arial"/>
          <w:sz w:val="22"/>
          <w:szCs w:val="22"/>
        </w:rPr>
        <w:t xml:space="preserve">the </w:t>
      </w:r>
      <w:r w:rsidR="00CD3DAA" w:rsidRPr="004A28F1">
        <w:rPr>
          <w:rFonts w:ascii="Arial" w:hAnsi="Arial" w:cs="Arial"/>
          <w:sz w:val="22"/>
          <w:szCs w:val="22"/>
        </w:rPr>
        <w:t xml:space="preserve">amended returns for the deficiency taxes </w:t>
      </w:r>
      <w:r w:rsidR="005A7B4C" w:rsidRPr="004A28F1">
        <w:rPr>
          <w:rFonts w:ascii="Arial" w:hAnsi="Arial" w:cs="Arial"/>
          <w:sz w:val="22"/>
          <w:szCs w:val="22"/>
        </w:rPr>
        <w:t xml:space="preserve">pursuant to </w:t>
      </w:r>
      <w:r w:rsidR="00CD3DAA" w:rsidRPr="004A28F1">
        <w:rPr>
          <w:rFonts w:ascii="Arial" w:hAnsi="Arial" w:cs="Arial"/>
          <w:sz w:val="22"/>
          <w:szCs w:val="22"/>
        </w:rPr>
        <w:t xml:space="preserve">the provisions of Revenue Memorandum Circular 43 – 2022 </w:t>
      </w:r>
      <w:r w:rsidR="005A7B4C" w:rsidRPr="004A28F1">
        <w:rPr>
          <w:rFonts w:ascii="Arial" w:hAnsi="Arial" w:cs="Arial"/>
          <w:sz w:val="22"/>
          <w:szCs w:val="22"/>
        </w:rPr>
        <w:t xml:space="preserve">on </w:t>
      </w:r>
      <w:r w:rsidR="00CD3DAA" w:rsidRPr="004A28F1">
        <w:rPr>
          <w:rFonts w:ascii="Arial" w:hAnsi="Arial" w:cs="Arial"/>
          <w:sz w:val="22"/>
          <w:szCs w:val="22"/>
        </w:rPr>
        <w:t>payment of penalty.</w:t>
      </w:r>
    </w:p>
    <w:p w14:paraId="1E6A1C78" w14:textId="77777777" w:rsidR="00240EBE" w:rsidRPr="004A28F1" w:rsidRDefault="00240EBE" w:rsidP="0085093C">
      <w:pPr>
        <w:pStyle w:val="ListParagraph"/>
        <w:shd w:val="clear" w:color="auto" w:fill="FFFFFF"/>
        <w:ind w:left="0"/>
        <w:jc w:val="both"/>
        <w:rPr>
          <w:rFonts w:ascii="Arial" w:hAnsi="Arial" w:cs="Arial"/>
          <w:b/>
          <w:bCs/>
          <w:sz w:val="22"/>
          <w:szCs w:val="22"/>
        </w:rPr>
      </w:pPr>
    </w:p>
    <w:p w14:paraId="7E23EBD6" w14:textId="7D8D5E50" w:rsidR="00120E7A" w:rsidRPr="004A28F1" w:rsidRDefault="00A955B8" w:rsidP="00E2290C">
      <w:pPr>
        <w:pStyle w:val="ListParagraph"/>
        <w:tabs>
          <w:tab w:val="left" w:pos="0"/>
        </w:tabs>
        <w:spacing w:after="20"/>
        <w:ind w:left="0"/>
        <w:jc w:val="both"/>
        <w:rPr>
          <w:rFonts w:ascii="Arial" w:hAnsi="Arial" w:cs="Arial"/>
          <w:b/>
          <w:bCs/>
          <w:sz w:val="22"/>
          <w:szCs w:val="22"/>
        </w:rPr>
      </w:pPr>
      <w:r w:rsidRPr="004A28F1">
        <w:rPr>
          <w:rFonts w:ascii="Arial" w:hAnsi="Arial" w:cs="Arial"/>
          <w:b/>
          <w:bCs/>
          <w:sz w:val="22"/>
          <w:szCs w:val="22"/>
        </w:rPr>
        <w:t>2.7</w:t>
      </w:r>
      <w:r w:rsidRPr="004A28F1">
        <w:rPr>
          <w:rFonts w:ascii="Arial" w:hAnsi="Arial" w:cs="Arial"/>
          <w:b/>
          <w:bCs/>
          <w:sz w:val="22"/>
          <w:szCs w:val="22"/>
        </w:rPr>
        <w:tab/>
      </w:r>
      <w:r w:rsidR="00120E7A" w:rsidRPr="004A28F1">
        <w:rPr>
          <w:rFonts w:ascii="Arial" w:hAnsi="Arial" w:cs="Arial"/>
          <w:b/>
          <w:bCs/>
          <w:sz w:val="22"/>
          <w:szCs w:val="22"/>
        </w:rPr>
        <w:t>We recommended and Management agreed to</w:t>
      </w:r>
      <w:r w:rsidR="00773AC2" w:rsidRPr="004A28F1">
        <w:rPr>
          <w:rFonts w:ascii="Arial" w:hAnsi="Arial" w:cs="Arial"/>
          <w:b/>
          <w:bCs/>
          <w:sz w:val="22"/>
          <w:szCs w:val="22"/>
        </w:rPr>
        <w:t xml:space="preserve"> r</w:t>
      </w:r>
      <w:r w:rsidR="00240EBE" w:rsidRPr="004A28F1">
        <w:rPr>
          <w:rFonts w:ascii="Arial" w:hAnsi="Arial" w:cs="Arial"/>
          <w:b/>
          <w:bCs/>
          <w:sz w:val="22"/>
          <w:szCs w:val="22"/>
        </w:rPr>
        <w:t xml:space="preserve">emit </w:t>
      </w:r>
      <w:r w:rsidR="00773AC2" w:rsidRPr="004A28F1">
        <w:rPr>
          <w:rFonts w:ascii="Arial" w:hAnsi="Arial" w:cs="Arial"/>
          <w:b/>
          <w:bCs/>
          <w:sz w:val="22"/>
          <w:szCs w:val="22"/>
        </w:rPr>
        <w:t xml:space="preserve">in CY 2023 </w:t>
      </w:r>
      <w:r w:rsidR="00240EBE" w:rsidRPr="004A28F1">
        <w:rPr>
          <w:rFonts w:ascii="Arial" w:hAnsi="Arial" w:cs="Arial"/>
          <w:b/>
          <w:bCs/>
          <w:sz w:val="22"/>
          <w:szCs w:val="22"/>
        </w:rPr>
        <w:t>additional GRT</w:t>
      </w:r>
      <w:r w:rsidR="00773AC2" w:rsidRPr="004A28F1">
        <w:rPr>
          <w:rFonts w:ascii="Arial" w:hAnsi="Arial" w:cs="Arial"/>
          <w:b/>
          <w:bCs/>
          <w:sz w:val="22"/>
          <w:szCs w:val="22"/>
        </w:rPr>
        <w:t xml:space="preserve"> to complete</w:t>
      </w:r>
      <w:r w:rsidR="00240EBE" w:rsidRPr="004A28F1">
        <w:rPr>
          <w:rFonts w:ascii="Arial" w:hAnsi="Arial" w:cs="Arial"/>
          <w:b/>
          <w:bCs/>
          <w:sz w:val="22"/>
          <w:szCs w:val="22"/>
        </w:rPr>
        <w:t xml:space="preserve"> </w:t>
      </w:r>
      <w:r w:rsidR="00EC5BE6" w:rsidRPr="004A28F1">
        <w:rPr>
          <w:rFonts w:ascii="Arial" w:hAnsi="Arial" w:cs="Arial"/>
          <w:b/>
          <w:bCs/>
          <w:sz w:val="22"/>
          <w:szCs w:val="22"/>
        </w:rPr>
        <w:t xml:space="preserve">tax </w:t>
      </w:r>
      <w:r w:rsidR="00773AC2" w:rsidRPr="004A28F1">
        <w:rPr>
          <w:rFonts w:ascii="Arial" w:hAnsi="Arial" w:cs="Arial"/>
          <w:b/>
          <w:bCs/>
          <w:sz w:val="22"/>
          <w:szCs w:val="22"/>
        </w:rPr>
        <w:t>payments for CYs 2022 and 2021</w:t>
      </w:r>
      <w:r w:rsidR="00EC5BE6" w:rsidRPr="004A28F1">
        <w:rPr>
          <w:rFonts w:ascii="Arial" w:hAnsi="Arial" w:cs="Arial"/>
          <w:b/>
          <w:bCs/>
          <w:sz w:val="22"/>
          <w:szCs w:val="22"/>
        </w:rPr>
        <w:t xml:space="preserve"> gross receipts </w:t>
      </w:r>
      <w:r w:rsidR="002D26E0" w:rsidRPr="004A28F1">
        <w:rPr>
          <w:rFonts w:ascii="Arial" w:hAnsi="Arial" w:cs="Arial"/>
          <w:b/>
          <w:bCs/>
          <w:sz w:val="22"/>
          <w:szCs w:val="22"/>
        </w:rPr>
        <w:t>using the</w:t>
      </w:r>
      <w:r w:rsidR="00240EBE" w:rsidRPr="004A28F1">
        <w:rPr>
          <w:rFonts w:ascii="Arial" w:hAnsi="Arial" w:cs="Arial"/>
          <w:b/>
          <w:bCs/>
          <w:sz w:val="22"/>
          <w:szCs w:val="22"/>
        </w:rPr>
        <w:t xml:space="preserve"> </w:t>
      </w:r>
      <w:r w:rsidR="002D26E0" w:rsidRPr="004A28F1">
        <w:rPr>
          <w:rFonts w:ascii="Arial" w:hAnsi="Arial" w:cs="Arial"/>
          <w:b/>
          <w:bCs/>
          <w:sz w:val="22"/>
          <w:szCs w:val="22"/>
        </w:rPr>
        <w:t>seven per cent</w:t>
      </w:r>
      <w:r w:rsidR="00240EBE" w:rsidRPr="004A28F1">
        <w:rPr>
          <w:rFonts w:ascii="Arial" w:hAnsi="Arial" w:cs="Arial"/>
          <w:b/>
          <w:bCs/>
          <w:sz w:val="22"/>
          <w:szCs w:val="22"/>
        </w:rPr>
        <w:t xml:space="preserve"> tax rate </w:t>
      </w:r>
      <w:r w:rsidR="00773AC2" w:rsidRPr="004A28F1">
        <w:rPr>
          <w:rFonts w:ascii="Arial" w:hAnsi="Arial" w:cs="Arial"/>
          <w:b/>
          <w:bCs/>
          <w:sz w:val="22"/>
          <w:szCs w:val="22"/>
        </w:rPr>
        <w:t>prescribed under</w:t>
      </w:r>
      <w:r w:rsidR="00240EBE" w:rsidRPr="004A28F1">
        <w:rPr>
          <w:rFonts w:ascii="Arial" w:hAnsi="Arial" w:cs="Arial"/>
          <w:b/>
          <w:bCs/>
          <w:sz w:val="22"/>
          <w:szCs w:val="22"/>
        </w:rPr>
        <w:t xml:space="preserve"> Sec</w:t>
      </w:r>
      <w:r w:rsidR="002D26E0" w:rsidRPr="004A28F1">
        <w:rPr>
          <w:rFonts w:ascii="Arial" w:hAnsi="Arial" w:cs="Arial"/>
          <w:b/>
          <w:bCs/>
          <w:sz w:val="22"/>
          <w:szCs w:val="22"/>
        </w:rPr>
        <w:t>tion</w:t>
      </w:r>
      <w:r w:rsidR="00240EBE" w:rsidRPr="004A28F1">
        <w:rPr>
          <w:rFonts w:ascii="Arial" w:hAnsi="Arial" w:cs="Arial"/>
          <w:b/>
          <w:bCs/>
          <w:sz w:val="22"/>
          <w:szCs w:val="22"/>
        </w:rPr>
        <w:t xml:space="preserve"> 121 of NIRC of 1997</w:t>
      </w:r>
      <w:r w:rsidR="00773AC2" w:rsidRPr="004A28F1">
        <w:rPr>
          <w:rFonts w:ascii="Arial" w:hAnsi="Arial" w:cs="Arial"/>
          <w:b/>
          <w:bCs/>
          <w:sz w:val="22"/>
          <w:szCs w:val="22"/>
        </w:rPr>
        <w:t>.</w:t>
      </w:r>
    </w:p>
    <w:p w14:paraId="5D1E3EB9" w14:textId="77777777" w:rsidR="00120E7A" w:rsidRPr="004A28F1" w:rsidRDefault="00120E7A" w:rsidP="00CD3DAA">
      <w:pPr>
        <w:shd w:val="clear" w:color="auto" w:fill="FFFFFF"/>
        <w:contextualSpacing/>
        <w:jc w:val="both"/>
        <w:rPr>
          <w:rFonts w:ascii="Arial" w:hAnsi="Arial" w:cs="Arial"/>
          <w:b/>
          <w:bCs/>
          <w:sz w:val="22"/>
          <w:szCs w:val="22"/>
        </w:rPr>
      </w:pPr>
    </w:p>
    <w:p w14:paraId="69598B16" w14:textId="77777777" w:rsidR="00C76F7D" w:rsidRDefault="00C76F7D" w:rsidP="00747A7B">
      <w:pPr>
        <w:pStyle w:val="Title"/>
        <w:tabs>
          <w:tab w:val="clear" w:pos="540"/>
          <w:tab w:val="clear" w:pos="6660"/>
        </w:tabs>
        <w:jc w:val="both"/>
      </w:pPr>
    </w:p>
    <w:p w14:paraId="09793CDF" w14:textId="77777777" w:rsidR="0041290B" w:rsidRDefault="0041290B" w:rsidP="00747A7B">
      <w:pPr>
        <w:pStyle w:val="Title"/>
        <w:tabs>
          <w:tab w:val="clear" w:pos="540"/>
          <w:tab w:val="clear" w:pos="6660"/>
        </w:tabs>
        <w:jc w:val="both"/>
      </w:pPr>
    </w:p>
    <w:p w14:paraId="2538B12E" w14:textId="77777777" w:rsidR="00D522A7" w:rsidRPr="004A28F1" w:rsidRDefault="00D522A7" w:rsidP="00747A7B">
      <w:pPr>
        <w:pStyle w:val="Title"/>
        <w:tabs>
          <w:tab w:val="clear" w:pos="540"/>
          <w:tab w:val="clear" w:pos="6660"/>
        </w:tabs>
        <w:jc w:val="both"/>
      </w:pPr>
    </w:p>
    <w:p w14:paraId="7AD361B8" w14:textId="2E995B96" w:rsidR="001802DE" w:rsidRPr="004A28F1" w:rsidRDefault="009D6A6D" w:rsidP="00E2290C">
      <w:pPr>
        <w:pStyle w:val="Title"/>
        <w:numPr>
          <w:ilvl w:val="0"/>
          <w:numId w:val="30"/>
        </w:numPr>
        <w:tabs>
          <w:tab w:val="clear" w:pos="540"/>
          <w:tab w:val="clear" w:pos="6660"/>
        </w:tabs>
        <w:ind w:left="567" w:hanging="567"/>
        <w:jc w:val="both"/>
      </w:pPr>
      <w:r w:rsidRPr="004A28F1">
        <w:lastRenderedPageBreak/>
        <w:t xml:space="preserve">NON- </w:t>
      </w:r>
      <w:r w:rsidR="001802DE" w:rsidRPr="004A28F1">
        <w:t xml:space="preserve">FINANCIAL </w:t>
      </w:r>
      <w:r w:rsidR="00A64076" w:rsidRPr="004A28F1">
        <w:t>ISSUES</w:t>
      </w:r>
    </w:p>
    <w:p w14:paraId="36DB9484" w14:textId="77777777" w:rsidR="00A955B8" w:rsidRPr="004A28F1" w:rsidRDefault="00A955B8" w:rsidP="00747A7B">
      <w:pPr>
        <w:pStyle w:val="Title"/>
        <w:tabs>
          <w:tab w:val="clear" w:pos="540"/>
          <w:tab w:val="clear" w:pos="6660"/>
        </w:tabs>
        <w:jc w:val="both"/>
      </w:pPr>
    </w:p>
    <w:p w14:paraId="20B06E22" w14:textId="6B18B61B" w:rsidR="00785E2A" w:rsidRPr="004A28F1" w:rsidRDefault="00747A7B" w:rsidP="00E2290C">
      <w:pPr>
        <w:pStyle w:val="NoSpacing1"/>
        <w:numPr>
          <w:ilvl w:val="0"/>
          <w:numId w:val="28"/>
        </w:numPr>
        <w:tabs>
          <w:tab w:val="left" w:pos="0"/>
          <w:tab w:val="left" w:pos="567"/>
        </w:tabs>
        <w:ind w:left="0" w:firstLine="0"/>
        <w:jc w:val="both"/>
        <w:rPr>
          <w:rFonts w:ascii="Arial" w:hAnsi="Arial" w:cs="Arial"/>
          <w:b/>
          <w:bCs/>
        </w:rPr>
      </w:pPr>
      <w:r w:rsidRPr="004A28F1">
        <w:rPr>
          <w:rFonts w:ascii="Arial" w:hAnsi="Arial" w:cs="Arial"/>
          <w:b/>
          <w:bCs/>
          <w:lang w:val="en-PH"/>
        </w:rPr>
        <w:t>GAD Plan and Budget</w:t>
      </w:r>
      <w:r w:rsidR="006215CE" w:rsidRPr="004A28F1">
        <w:rPr>
          <w:rFonts w:ascii="Arial" w:hAnsi="Arial" w:cs="Arial"/>
          <w:b/>
          <w:bCs/>
          <w:lang w:val="en-PH"/>
        </w:rPr>
        <w:t xml:space="preserve"> (GPB)</w:t>
      </w:r>
      <w:r w:rsidR="00C205E3" w:rsidRPr="004A28F1">
        <w:rPr>
          <w:rFonts w:ascii="Arial" w:hAnsi="Arial" w:cs="Arial"/>
          <w:b/>
          <w:bCs/>
          <w:lang w:val="en-PH"/>
        </w:rPr>
        <w:t xml:space="preserve"> </w:t>
      </w:r>
      <w:r w:rsidR="0011412C" w:rsidRPr="004A28F1">
        <w:rPr>
          <w:rFonts w:ascii="Arial" w:hAnsi="Arial" w:cs="Arial"/>
          <w:b/>
          <w:bCs/>
          <w:lang w:val="en-PH"/>
        </w:rPr>
        <w:t xml:space="preserve">for calendar year 2022 </w:t>
      </w:r>
      <w:r w:rsidR="00C205E3" w:rsidRPr="004A28F1">
        <w:rPr>
          <w:rFonts w:ascii="Arial" w:hAnsi="Arial" w:cs="Arial"/>
          <w:b/>
          <w:bCs/>
          <w:lang w:val="en-PH"/>
        </w:rPr>
        <w:t xml:space="preserve">was not </w:t>
      </w:r>
      <w:r w:rsidR="00CA4A6F" w:rsidRPr="004A28F1">
        <w:rPr>
          <w:rFonts w:ascii="Arial" w:hAnsi="Arial" w:cs="Arial"/>
          <w:b/>
          <w:bCs/>
          <w:lang w:val="en-PH"/>
        </w:rPr>
        <w:t>submitted</w:t>
      </w:r>
      <w:r w:rsidR="009B5843" w:rsidRPr="004A28F1">
        <w:rPr>
          <w:rFonts w:ascii="Arial" w:hAnsi="Arial" w:cs="Arial"/>
          <w:b/>
          <w:bCs/>
          <w:lang w:val="en-PH"/>
        </w:rPr>
        <w:t xml:space="preserve"> to PCW for endorsement</w:t>
      </w:r>
      <w:r w:rsidR="00DB4928" w:rsidRPr="004A28F1">
        <w:rPr>
          <w:rFonts w:ascii="Arial" w:hAnsi="Arial" w:cs="Arial"/>
          <w:b/>
          <w:bCs/>
        </w:rPr>
        <w:t xml:space="preserve">, and GAD </w:t>
      </w:r>
      <w:r w:rsidRPr="004A28F1">
        <w:rPr>
          <w:rFonts w:ascii="Arial" w:hAnsi="Arial" w:cs="Arial"/>
          <w:b/>
          <w:bCs/>
        </w:rPr>
        <w:t xml:space="preserve">Accomplishment Report </w:t>
      </w:r>
      <w:r w:rsidR="009B5843" w:rsidRPr="004A28F1">
        <w:rPr>
          <w:rFonts w:ascii="Arial" w:hAnsi="Arial" w:cs="Arial"/>
          <w:b/>
          <w:bCs/>
        </w:rPr>
        <w:t xml:space="preserve">prepared </w:t>
      </w:r>
      <w:r w:rsidR="00C205E3" w:rsidRPr="004A28F1">
        <w:rPr>
          <w:rFonts w:ascii="Arial" w:hAnsi="Arial" w:cs="Arial"/>
          <w:b/>
          <w:bCs/>
        </w:rPr>
        <w:t xml:space="preserve">was </w:t>
      </w:r>
      <w:r w:rsidRPr="004A28F1">
        <w:rPr>
          <w:rFonts w:ascii="Arial" w:hAnsi="Arial" w:cs="Arial"/>
          <w:b/>
          <w:bCs/>
        </w:rPr>
        <w:t xml:space="preserve">not </w:t>
      </w:r>
      <w:r w:rsidR="006215CE" w:rsidRPr="004A28F1">
        <w:rPr>
          <w:rFonts w:ascii="Arial" w:hAnsi="Arial" w:cs="Arial"/>
          <w:b/>
          <w:bCs/>
        </w:rPr>
        <w:t>based on a PCW-endorsed GPB</w:t>
      </w:r>
      <w:r w:rsidRPr="004A28F1">
        <w:rPr>
          <w:rFonts w:ascii="Arial" w:hAnsi="Arial" w:cs="Arial"/>
          <w:b/>
          <w:bCs/>
        </w:rPr>
        <w:t xml:space="preserve">, </w:t>
      </w:r>
      <w:r w:rsidR="00DB4928" w:rsidRPr="004A28F1">
        <w:rPr>
          <w:rFonts w:ascii="Arial" w:hAnsi="Arial" w:cs="Arial"/>
          <w:b/>
          <w:bCs/>
        </w:rPr>
        <w:t>hence</w:t>
      </w:r>
      <w:r w:rsidR="00551856" w:rsidRPr="004A28F1">
        <w:rPr>
          <w:rFonts w:ascii="Arial" w:hAnsi="Arial" w:cs="Arial"/>
        </w:rPr>
        <w:t xml:space="preserve"> </w:t>
      </w:r>
      <w:r w:rsidR="00551856" w:rsidRPr="004A28F1">
        <w:rPr>
          <w:rFonts w:ascii="Arial" w:hAnsi="Arial" w:cs="Arial"/>
          <w:b/>
          <w:bCs/>
        </w:rPr>
        <w:t>the implementation of GAD Plans, Programs and Activities (PAPs) on the said year cannot be established</w:t>
      </w:r>
      <w:r w:rsidR="00551856" w:rsidRPr="004A28F1">
        <w:rPr>
          <w:rFonts w:ascii="Arial" w:hAnsi="Arial" w:cs="Arial"/>
        </w:rPr>
        <w:t>.</w:t>
      </w:r>
      <w:r w:rsidR="00DB4928" w:rsidRPr="004A28F1">
        <w:rPr>
          <w:rFonts w:ascii="Arial" w:hAnsi="Arial" w:cs="Arial"/>
          <w:b/>
          <w:bCs/>
        </w:rPr>
        <w:t xml:space="preserve"> </w:t>
      </w:r>
    </w:p>
    <w:p w14:paraId="79854926" w14:textId="77777777" w:rsidR="00747A7B" w:rsidRPr="004A28F1" w:rsidRDefault="00747A7B" w:rsidP="00747A7B">
      <w:pPr>
        <w:pStyle w:val="ListParagraph"/>
        <w:autoSpaceDE w:val="0"/>
        <w:autoSpaceDN w:val="0"/>
        <w:adjustRightInd w:val="0"/>
        <w:ind w:left="0"/>
        <w:jc w:val="both"/>
        <w:rPr>
          <w:rFonts w:ascii="Arial" w:hAnsi="Arial" w:cs="Arial"/>
          <w:b/>
          <w:sz w:val="22"/>
          <w:szCs w:val="22"/>
        </w:rPr>
      </w:pPr>
    </w:p>
    <w:p w14:paraId="001CCA90" w14:textId="12787122" w:rsidR="00747A7B" w:rsidRPr="004A28F1" w:rsidRDefault="00747A7B" w:rsidP="00E2290C">
      <w:pPr>
        <w:pStyle w:val="ListParagraph"/>
        <w:numPr>
          <w:ilvl w:val="1"/>
          <w:numId w:val="40"/>
        </w:numPr>
        <w:tabs>
          <w:tab w:val="left" w:pos="0"/>
          <w:tab w:val="left" w:pos="567"/>
        </w:tabs>
        <w:spacing w:after="20"/>
        <w:ind w:left="0" w:firstLine="0"/>
        <w:jc w:val="both"/>
        <w:rPr>
          <w:rFonts w:ascii="Arial" w:hAnsi="Arial" w:cs="Arial"/>
          <w:sz w:val="22"/>
          <w:szCs w:val="22"/>
        </w:rPr>
      </w:pPr>
      <w:r w:rsidRPr="004A28F1">
        <w:rPr>
          <w:rFonts w:ascii="Arial" w:hAnsi="Arial" w:cs="Arial"/>
          <w:sz w:val="22"/>
          <w:szCs w:val="22"/>
        </w:rPr>
        <w:t>Pertinent paragraphs of PCW MC 2021-04 dated August 24, 2021</w:t>
      </w:r>
      <w:r w:rsidR="00FE31AD" w:rsidRPr="004A28F1">
        <w:rPr>
          <w:rFonts w:ascii="Arial" w:hAnsi="Arial" w:cs="Arial"/>
          <w:sz w:val="22"/>
          <w:szCs w:val="22"/>
        </w:rPr>
        <w:t>,</w:t>
      </w:r>
      <w:r w:rsidRPr="004A28F1">
        <w:rPr>
          <w:rFonts w:ascii="Arial" w:hAnsi="Arial" w:cs="Arial"/>
          <w:sz w:val="22"/>
          <w:szCs w:val="22"/>
        </w:rPr>
        <w:t xml:space="preserve"> on the Preparation and Online Submission of Fiscal Year (FY) 2022 GPB </w:t>
      </w:r>
      <w:r w:rsidR="006215CE" w:rsidRPr="004A28F1">
        <w:rPr>
          <w:rFonts w:ascii="Arial" w:hAnsi="Arial" w:cs="Arial"/>
          <w:sz w:val="22"/>
          <w:szCs w:val="22"/>
        </w:rPr>
        <w:t>and Accomplishment Report are as follows</w:t>
      </w:r>
      <w:r w:rsidRPr="004A28F1">
        <w:rPr>
          <w:rFonts w:ascii="Arial" w:hAnsi="Arial" w:cs="Arial"/>
          <w:sz w:val="22"/>
          <w:szCs w:val="22"/>
        </w:rPr>
        <w:t>:</w:t>
      </w:r>
    </w:p>
    <w:p w14:paraId="79486854" w14:textId="77777777" w:rsidR="006215CE" w:rsidRPr="004A28F1" w:rsidRDefault="006215CE" w:rsidP="0085093C">
      <w:pPr>
        <w:pStyle w:val="ListParagraph"/>
        <w:tabs>
          <w:tab w:val="left" w:pos="0"/>
        </w:tabs>
        <w:spacing w:after="20"/>
        <w:ind w:left="0"/>
        <w:jc w:val="both"/>
        <w:rPr>
          <w:rFonts w:ascii="Arial" w:hAnsi="Arial" w:cs="Arial"/>
          <w:sz w:val="22"/>
          <w:szCs w:val="22"/>
        </w:rPr>
      </w:pPr>
    </w:p>
    <w:p w14:paraId="0E1B68FD" w14:textId="77777777" w:rsidR="00747A7B" w:rsidRPr="004A28F1" w:rsidRDefault="00747A7B" w:rsidP="00E2290C">
      <w:pPr>
        <w:shd w:val="clear" w:color="auto" w:fill="FFFFFF"/>
        <w:ind w:left="567" w:right="702" w:hanging="26"/>
        <w:jc w:val="both"/>
        <w:rPr>
          <w:rFonts w:ascii="Arial" w:hAnsi="Arial" w:cs="Arial"/>
          <w:i/>
          <w:sz w:val="22"/>
          <w:szCs w:val="22"/>
        </w:rPr>
      </w:pPr>
      <w:r w:rsidRPr="004A28F1">
        <w:rPr>
          <w:rFonts w:ascii="Arial" w:hAnsi="Arial" w:cs="Arial"/>
          <w:i/>
          <w:sz w:val="22"/>
          <w:szCs w:val="22"/>
        </w:rPr>
        <w:t xml:space="preserve">1.1. In accordance with Section 36 of Republic Act No. 9710 or the Magna Carta of Women (MCW), the Philippine Commission on Women (PCW) calls on all national government agencies and instrumentalities to </w:t>
      </w:r>
      <w:r w:rsidRPr="004A28F1">
        <w:rPr>
          <w:rFonts w:ascii="Arial" w:hAnsi="Arial" w:cs="Arial"/>
          <w:b/>
          <w:bCs/>
          <w:i/>
          <w:sz w:val="22"/>
          <w:szCs w:val="22"/>
        </w:rPr>
        <w:t>prepare and submit their FY 2022 GAD Plan and Budget (GPB)</w:t>
      </w:r>
      <w:r w:rsidRPr="004A28F1">
        <w:rPr>
          <w:rFonts w:ascii="Arial" w:hAnsi="Arial" w:cs="Arial"/>
          <w:i/>
          <w:sz w:val="22"/>
          <w:szCs w:val="22"/>
        </w:rPr>
        <w:t xml:space="preserve"> to the Philippine Commission on Women (PCW). </w:t>
      </w:r>
    </w:p>
    <w:p w14:paraId="4C977D36" w14:textId="77777777" w:rsidR="00747A7B" w:rsidRPr="004A28F1" w:rsidRDefault="00747A7B" w:rsidP="00747A7B">
      <w:pPr>
        <w:shd w:val="clear" w:color="auto" w:fill="FFFFFF"/>
        <w:ind w:left="541" w:right="255"/>
        <w:jc w:val="both"/>
        <w:rPr>
          <w:rFonts w:ascii="Arial" w:hAnsi="Arial" w:cs="Arial"/>
          <w:sz w:val="22"/>
          <w:szCs w:val="22"/>
        </w:rPr>
      </w:pPr>
    </w:p>
    <w:p w14:paraId="69BC2F03" w14:textId="2DB50714" w:rsidR="00747A7B" w:rsidRPr="004A28F1" w:rsidRDefault="006215CE" w:rsidP="00747A7B">
      <w:pPr>
        <w:shd w:val="clear" w:color="auto" w:fill="FFFFFF"/>
        <w:ind w:left="541" w:right="255"/>
        <w:jc w:val="both"/>
        <w:rPr>
          <w:rFonts w:ascii="Arial" w:hAnsi="Arial" w:cs="Arial"/>
          <w:i/>
          <w:sz w:val="22"/>
          <w:szCs w:val="22"/>
        </w:rPr>
      </w:pPr>
      <w:r w:rsidRPr="004A28F1">
        <w:rPr>
          <w:rFonts w:ascii="Arial" w:hAnsi="Arial" w:cs="Arial"/>
          <w:i/>
          <w:sz w:val="22"/>
          <w:szCs w:val="22"/>
        </w:rPr>
        <w:t>X x x</w:t>
      </w:r>
    </w:p>
    <w:p w14:paraId="736470DC" w14:textId="77777777" w:rsidR="00747A7B" w:rsidRPr="004A28F1" w:rsidRDefault="00747A7B" w:rsidP="00747A7B">
      <w:pPr>
        <w:pStyle w:val="ListParagraph"/>
        <w:shd w:val="clear" w:color="auto" w:fill="FFFFFF"/>
        <w:ind w:left="0"/>
        <w:jc w:val="both"/>
        <w:rPr>
          <w:rFonts w:ascii="Arial" w:hAnsi="Arial" w:cs="Arial"/>
          <w:sz w:val="22"/>
          <w:szCs w:val="22"/>
        </w:rPr>
      </w:pPr>
    </w:p>
    <w:p w14:paraId="6F4AA1E7" w14:textId="77777777" w:rsidR="00747A7B" w:rsidRPr="004A28F1" w:rsidRDefault="00747A7B" w:rsidP="00E2290C">
      <w:pPr>
        <w:pStyle w:val="ListParagraph"/>
        <w:shd w:val="clear" w:color="auto" w:fill="FFFFFF"/>
        <w:ind w:left="511" w:right="702"/>
        <w:jc w:val="both"/>
        <w:rPr>
          <w:rFonts w:ascii="Arial" w:hAnsi="Arial" w:cs="Arial"/>
          <w:sz w:val="22"/>
          <w:szCs w:val="22"/>
        </w:rPr>
      </w:pPr>
      <w:r w:rsidRPr="004A28F1">
        <w:rPr>
          <w:rFonts w:ascii="Arial" w:hAnsi="Arial" w:cs="Arial"/>
          <w:i/>
          <w:iCs/>
          <w:sz w:val="22"/>
          <w:szCs w:val="22"/>
        </w:rPr>
        <w:t xml:space="preserve">10.1 X x x. The agency GFPS shall </w:t>
      </w:r>
      <w:r w:rsidRPr="004A28F1">
        <w:rPr>
          <w:rFonts w:ascii="Arial" w:hAnsi="Arial" w:cs="Arial"/>
          <w:b/>
          <w:bCs/>
          <w:i/>
          <w:iCs/>
          <w:sz w:val="22"/>
          <w:szCs w:val="22"/>
        </w:rPr>
        <w:t>prepare the annual GAD AR based on the PCW-endorsed GPB</w:t>
      </w:r>
      <w:r w:rsidRPr="004A28F1">
        <w:rPr>
          <w:rFonts w:ascii="Arial" w:hAnsi="Arial" w:cs="Arial"/>
          <w:i/>
          <w:iCs/>
          <w:sz w:val="22"/>
          <w:szCs w:val="22"/>
        </w:rPr>
        <w:t xml:space="preserve"> xxx.</w:t>
      </w:r>
    </w:p>
    <w:p w14:paraId="56A06344" w14:textId="77777777" w:rsidR="00747A7B" w:rsidRPr="004A28F1" w:rsidRDefault="00747A7B" w:rsidP="0085093C">
      <w:pPr>
        <w:rPr>
          <w:rFonts w:ascii="Arial" w:hAnsi="Arial" w:cs="Arial"/>
          <w:bCs/>
          <w:sz w:val="22"/>
          <w:szCs w:val="22"/>
        </w:rPr>
      </w:pPr>
    </w:p>
    <w:p w14:paraId="3E5E3BC5" w14:textId="5EEBD4F9" w:rsidR="00D058A4" w:rsidRPr="004A28F1" w:rsidRDefault="00226937" w:rsidP="00E2290C">
      <w:pPr>
        <w:pStyle w:val="ListParagraph"/>
        <w:numPr>
          <w:ilvl w:val="1"/>
          <w:numId w:val="40"/>
        </w:numPr>
        <w:tabs>
          <w:tab w:val="left" w:pos="0"/>
          <w:tab w:val="left" w:pos="567"/>
        </w:tabs>
        <w:spacing w:after="20"/>
        <w:ind w:left="0" w:firstLine="0"/>
        <w:jc w:val="both"/>
        <w:rPr>
          <w:rFonts w:ascii="Arial" w:hAnsi="Arial" w:cs="Arial"/>
          <w:sz w:val="22"/>
          <w:szCs w:val="22"/>
        </w:rPr>
      </w:pPr>
      <w:r w:rsidRPr="004A28F1">
        <w:rPr>
          <w:rFonts w:ascii="Arial" w:hAnsi="Arial" w:cs="Arial"/>
          <w:sz w:val="22"/>
          <w:szCs w:val="22"/>
        </w:rPr>
        <w:t>The GPB for CY 2022 submitted to the audit team has the heading of “Annual GAD Plan and Budget CY 2022”, however the</w:t>
      </w:r>
      <w:r w:rsidR="00D058A4" w:rsidRPr="004A28F1">
        <w:rPr>
          <w:rFonts w:ascii="Arial" w:hAnsi="Arial" w:cs="Arial"/>
          <w:sz w:val="22"/>
          <w:szCs w:val="22"/>
        </w:rPr>
        <w:t xml:space="preserve"> template accomplished is GAD Accomplishment Report</w:t>
      </w:r>
      <w:r w:rsidR="00596EE4" w:rsidRPr="004A28F1">
        <w:rPr>
          <w:rFonts w:ascii="Arial" w:hAnsi="Arial" w:cs="Arial"/>
          <w:sz w:val="22"/>
          <w:szCs w:val="22"/>
        </w:rPr>
        <w:t xml:space="preserve"> (AR)</w:t>
      </w:r>
      <w:r w:rsidR="00D058A4" w:rsidRPr="004A28F1">
        <w:rPr>
          <w:rFonts w:ascii="Arial" w:hAnsi="Arial" w:cs="Arial"/>
          <w:sz w:val="22"/>
          <w:szCs w:val="22"/>
        </w:rPr>
        <w:t>.</w:t>
      </w:r>
    </w:p>
    <w:p w14:paraId="40A1A7E1" w14:textId="1D7F7954" w:rsidR="00226937" w:rsidRPr="004A28F1" w:rsidRDefault="00D058A4" w:rsidP="00E2290C">
      <w:pPr>
        <w:pStyle w:val="ListParagraph"/>
        <w:tabs>
          <w:tab w:val="left" w:pos="0"/>
        </w:tabs>
        <w:spacing w:after="20"/>
        <w:ind w:left="0"/>
        <w:jc w:val="both"/>
        <w:rPr>
          <w:rFonts w:ascii="Arial" w:hAnsi="Arial" w:cs="Arial"/>
          <w:sz w:val="22"/>
          <w:szCs w:val="22"/>
        </w:rPr>
      </w:pPr>
      <w:r w:rsidRPr="004A28F1">
        <w:rPr>
          <w:rFonts w:ascii="Arial" w:hAnsi="Arial" w:cs="Arial"/>
          <w:sz w:val="22"/>
          <w:szCs w:val="22"/>
        </w:rPr>
        <w:t xml:space="preserve"> </w:t>
      </w:r>
    </w:p>
    <w:p w14:paraId="16369E00" w14:textId="5DBEA57F" w:rsidR="00D058A4" w:rsidRPr="004A28F1" w:rsidRDefault="00D058A4" w:rsidP="00E2290C">
      <w:pPr>
        <w:pStyle w:val="ListParagraph"/>
        <w:numPr>
          <w:ilvl w:val="1"/>
          <w:numId w:val="40"/>
        </w:numPr>
        <w:tabs>
          <w:tab w:val="left" w:pos="0"/>
          <w:tab w:val="left" w:pos="567"/>
        </w:tabs>
        <w:spacing w:after="20"/>
        <w:ind w:left="0" w:firstLine="0"/>
        <w:jc w:val="both"/>
        <w:rPr>
          <w:rFonts w:ascii="Arial" w:hAnsi="Arial" w:cs="Arial"/>
          <w:sz w:val="22"/>
          <w:szCs w:val="22"/>
        </w:rPr>
      </w:pPr>
      <w:r w:rsidRPr="004A28F1">
        <w:rPr>
          <w:rFonts w:ascii="Arial" w:hAnsi="Arial" w:cs="Arial"/>
          <w:sz w:val="22"/>
          <w:szCs w:val="22"/>
        </w:rPr>
        <w:t xml:space="preserve">Management explained that the GBP for CY 2022 was prepared but </w:t>
      </w:r>
      <w:r w:rsidR="00596EE4" w:rsidRPr="004A28F1">
        <w:rPr>
          <w:rFonts w:ascii="Arial" w:hAnsi="Arial" w:cs="Arial"/>
          <w:sz w:val="22"/>
          <w:szCs w:val="22"/>
        </w:rPr>
        <w:t xml:space="preserve">not submitted to PCW on or before the </w:t>
      </w:r>
      <w:r w:rsidRPr="004A28F1">
        <w:rPr>
          <w:rFonts w:ascii="Arial" w:hAnsi="Arial" w:cs="Arial"/>
          <w:sz w:val="22"/>
          <w:szCs w:val="22"/>
        </w:rPr>
        <w:t>deadline of 15 November 2021</w:t>
      </w:r>
      <w:r w:rsidR="00AF2CC1" w:rsidRPr="004A28F1">
        <w:rPr>
          <w:rFonts w:ascii="Arial" w:hAnsi="Arial" w:cs="Arial"/>
          <w:sz w:val="22"/>
          <w:szCs w:val="22"/>
        </w:rPr>
        <w:t xml:space="preserve"> hence was not able to obtain a </w:t>
      </w:r>
      <w:r w:rsidR="009708A8" w:rsidRPr="004A28F1">
        <w:rPr>
          <w:rFonts w:ascii="Arial" w:hAnsi="Arial" w:cs="Arial"/>
          <w:sz w:val="22"/>
          <w:szCs w:val="22"/>
        </w:rPr>
        <w:t>PCW-endors</w:t>
      </w:r>
      <w:r w:rsidR="001B44CB" w:rsidRPr="004A28F1">
        <w:rPr>
          <w:rFonts w:ascii="Arial" w:hAnsi="Arial" w:cs="Arial"/>
          <w:sz w:val="22"/>
          <w:szCs w:val="22"/>
        </w:rPr>
        <w:t>ed GPB</w:t>
      </w:r>
      <w:r w:rsidR="00AF2CC1" w:rsidRPr="004A28F1">
        <w:rPr>
          <w:rFonts w:ascii="Arial" w:hAnsi="Arial" w:cs="Arial"/>
          <w:sz w:val="22"/>
          <w:szCs w:val="22"/>
        </w:rPr>
        <w:t xml:space="preserve">. </w:t>
      </w:r>
      <w:r w:rsidR="00596EE4" w:rsidRPr="004A28F1">
        <w:rPr>
          <w:rFonts w:ascii="Arial" w:hAnsi="Arial" w:cs="Arial"/>
          <w:sz w:val="22"/>
          <w:szCs w:val="22"/>
        </w:rPr>
        <w:t xml:space="preserve">The </w:t>
      </w:r>
      <w:r w:rsidR="00AF2CC1" w:rsidRPr="004A28F1">
        <w:rPr>
          <w:rFonts w:ascii="Arial" w:hAnsi="Arial" w:cs="Arial"/>
          <w:sz w:val="22"/>
          <w:szCs w:val="22"/>
        </w:rPr>
        <w:t xml:space="preserve">Bank was able to submit the </w:t>
      </w:r>
      <w:r w:rsidR="00596EE4" w:rsidRPr="004A28F1">
        <w:rPr>
          <w:rFonts w:ascii="Arial" w:hAnsi="Arial" w:cs="Arial"/>
          <w:sz w:val="22"/>
          <w:szCs w:val="22"/>
        </w:rPr>
        <w:t>GAD AR for CY 2022</w:t>
      </w:r>
      <w:r w:rsidR="00AF2CC1" w:rsidRPr="004A28F1">
        <w:rPr>
          <w:rFonts w:ascii="Arial" w:hAnsi="Arial" w:cs="Arial"/>
          <w:sz w:val="22"/>
          <w:szCs w:val="22"/>
        </w:rPr>
        <w:t xml:space="preserve"> with an attached GPB of the same year </w:t>
      </w:r>
      <w:r w:rsidR="009708A8" w:rsidRPr="004A28F1">
        <w:rPr>
          <w:rFonts w:ascii="Arial" w:hAnsi="Arial" w:cs="Arial"/>
          <w:sz w:val="22"/>
          <w:szCs w:val="22"/>
        </w:rPr>
        <w:t xml:space="preserve">through the GMMS (PCW Portal) </w:t>
      </w:r>
      <w:r w:rsidR="00596EE4" w:rsidRPr="004A28F1">
        <w:rPr>
          <w:rFonts w:ascii="Arial" w:hAnsi="Arial" w:cs="Arial"/>
          <w:sz w:val="22"/>
          <w:szCs w:val="22"/>
        </w:rPr>
        <w:t xml:space="preserve">within the deadline of March 17, 2023. </w:t>
      </w:r>
    </w:p>
    <w:p w14:paraId="07045A1E" w14:textId="77777777" w:rsidR="00596EE4" w:rsidRPr="004A28F1" w:rsidRDefault="00596EE4" w:rsidP="00E2290C">
      <w:pPr>
        <w:pStyle w:val="ListParagraph"/>
        <w:rPr>
          <w:rFonts w:ascii="Arial" w:hAnsi="Arial" w:cs="Arial"/>
          <w:sz w:val="22"/>
          <w:szCs w:val="22"/>
        </w:rPr>
      </w:pPr>
    </w:p>
    <w:p w14:paraId="138BD9A5" w14:textId="3AAB15A5" w:rsidR="001B44CB" w:rsidRPr="004A28F1" w:rsidRDefault="009708A8" w:rsidP="00E2290C">
      <w:pPr>
        <w:pStyle w:val="ListParagraph"/>
        <w:numPr>
          <w:ilvl w:val="1"/>
          <w:numId w:val="40"/>
        </w:numPr>
        <w:tabs>
          <w:tab w:val="left" w:pos="0"/>
          <w:tab w:val="left" w:pos="567"/>
        </w:tabs>
        <w:spacing w:after="20"/>
        <w:ind w:left="0" w:firstLine="0"/>
        <w:jc w:val="both"/>
        <w:rPr>
          <w:rFonts w:ascii="Arial" w:hAnsi="Arial" w:cs="Arial"/>
          <w:sz w:val="22"/>
          <w:szCs w:val="22"/>
        </w:rPr>
      </w:pPr>
      <w:r w:rsidRPr="004A28F1">
        <w:rPr>
          <w:rFonts w:ascii="Arial" w:hAnsi="Arial" w:cs="Arial"/>
          <w:sz w:val="22"/>
          <w:szCs w:val="22"/>
        </w:rPr>
        <w:t>The audit team noted that the GAR AR reported an allocated budget amount</w:t>
      </w:r>
      <w:r w:rsidR="001B44CB" w:rsidRPr="004A28F1">
        <w:rPr>
          <w:rFonts w:ascii="Arial" w:hAnsi="Arial" w:cs="Arial"/>
          <w:sz w:val="22"/>
          <w:szCs w:val="22"/>
        </w:rPr>
        <w:t>ing</w:t>
      </w:r>
      <w:r w:rsidRPr="004A28F1">
        <w:rPr>
          <w:rFonts w:ascii="Arial" w:hAnsi="Arial" w:cs="Arial"/>
          <w:sz w:val="22"/>
          <w:szCs w:val="22"/>
        </w:rPr>
        <w:t xml:space="preserve"> to P6</w:t>
      </w:r>
      <w:r w:rsidR="00790756" w:rsidRPr="004A28F1">
        <w:rPr>
          <w:rFonts w:ascii="Arial" w:hAnsi="Arial" w:cs="Arial"/>
          <w:sz w:val="22"/>
          <w:szCs w:val="22"/>
        </w:rPr>
        <w:t>.</w:t>
      </w:r>
      <w:r w:rsidRPr="004A28F1">
        <w:rPr>
          <w:rFonts w:ascii="Arial" w:hAnsi="Arial" w:cs="Arial"/>
          <w:sz w:val="22"/>
          <w:szCs w:val="22"/>
        </w:rPr>
        <w:t>270</w:t>
      </w:r>
      <w:r w:rsidR="00790756" w:rsidRPr="004A28F1">
        <w:rPr>
          <w:rFonts w:ascii="Arial" w:hAnsi="Arial" w:cs="Arial"/>
          <w:sz w:val="22"/>
          <w:szCs w:val="22"/>
        </w:rPr>
        <w:t xml:space="preserve"> million</w:t>
      </w:r>
      <w:r w:rsidRPr="004A28F1">
        <w:rPr>
          <w:rFonts w:ascii="Arial" w:hAnsi="Arial" w:cs="Arial"/>
          <w:sz w:val="22"/>
          <w:szCs w:val="22"/>
        </w:rPr>
        <w:t xml:space="preserve"> representing 4.22 per cent of the Corporate Operating Budget (COB) for CY 2022</w:t>
      </w:r>
      <w:r w:rsidR="001B44CB" w:rsidRPr="004A28F1">
        <w:rPr>
          <w:rFonts w:ascii="Arial" w:hAnsi="Arial" w:cs="Arial"/>
          <w:sz w:val="22"/>
          <w:szCs w:val="22"/>
        </w:rPr>
        <w:t xml:space="preserve"> which did not meet the minimum five</w:t>
      </w:r>
      <w:r w:rsidR="0044272B" w:rsidRPr="004A28F1">
        <w:rPr>
          <w:rFonts w:ascii="Arial" w:hAnsi="Arial" w:cs="Arial"/>
          <w:sz w:val="22"/>
          <w:szCs w:val="22"/>
        </w:rPr>
        <w:t xml:space="preserve"> </w:t>
      </w:r>
      <w:r w:rsidR="001B44CB" w:rsidRPr="004A28F1">
        <w:rPr>
          <w:rFonts w:ascii="Arial" w:hAnsi="Arial" w:cs="Arial"/>
          <w:sz w:val="22"/>
          <w:szCs w:val="22"/>
        </w:rPr>
        <w:t>per cent of the COB requirem</w:t>
      </w:r>
      <w:r w:rsidR="0044272B" w:rsidRPr="004A28F1">
        <w:rPr>
          <w:rFonts w:ascii="Arial" w:hAnsi="Arial" w:cs="Arial"/>
          <w:sz w:val="22"/>
          <w:szCs w:val="22"/>
        </w:rPr>
        <w:t>ent</w:t>
      </w:r>
      <w:r w:rsidR="001B44CB" w:rsidRPr="004A28F1">
        <w:rPr>
          <w:rFonts w:ascii="Arial" w:hAnsi="Arial" w:cs="Arial"/>
          <w:sz w:val="22"/>
          <w:szCs w:val="22"/>
        </w:rPr>
        <w:t xml:space="preserve"> in PCW Memorandum Circular No. 2021-04. </w:t>
      </w:r>
      <w:r w:rsidR="00D40722" w:rsidRPr="004A28F1">
        <w:rPr>
          <w:rFonts w:ascii="Arial" w:hAnsi="Arial" w:cs="Arial"/>
          <w:sz w:val="22"/>
          <w:szCs w:val="22"/>
        </w:rPr>
        <w:t>Also, the GAD expenditures of the same year and its supporting documents were not submitted in audit.</w:t>
      </w:r>
    </w:p>
    <w:p w14:paraId="77295093" w14:textId="77777777" w:rsidR="001B44CB" w:rsidRPr="004A28F1" w:rsidRDefault="001B44CB" w:rsidP="00E2290C">
      <w:pPr>
        <w:pStyle w:val="ListParagraph"/>
        <w:rPr>
          <w:rFonts w:ascii="Arial" w:hAnsi="Arial" w:cs="Arial"/>
          <w:sz w:val="22"/>
          <w:szCs w:val="22"/>
        </w:rPr>
      </w:pPr>
    </w:p>
    <w:p w14:paraId="6340A3B6" w14:textId="0983D7B5" w:rsidR="00AF2CC1" w:rsidRPr="004A28F1" w:rsidRDefault="001B44CB" w:rsidP="00E2290C">
      <w:pPr>
        <w:pStyle w:val="ListParagraph"/>
        <w:numPr>
          <w:ilvl w:val="1"/>
          <w:numId w:val="40"/>
        </w:numPr>
        <w:tabs>
          <w:tab w:val="left" w:pos="0"/>
          <w:tab w:val="left" w:pos="567"/>
        </w:tabs>
        <w:spacing w:after="20"/>
        <w:ind w:left="0" w:firstLine="0"/>
        <w:jc w:val="both"/>
        <w:rPr>
          <w:rFonts w:ascii="Arial" w:hAnsi="Arial" w:cs="Arial"/>
          <w:sz w:val="22"/>
          <w:szCs w:val="22"/>
        </w:rPr>
      </w:pPr>
      <w:r w:rsidRPr="004A28F1">
        <w:rPr>
          <w:rFonts w:ascii="Arial" w:hAnsi="Arial" w:cs="Arial"/>
          <w:sz w:val="22"/>
          <w:szCs w:val="22"/>
        </w:rPr>
        <w:t xml:space="preserve"> </w:t>
      </w:r>
      <w:r w:rsidR="00AF2CC1" w:rsidRPr="004A28F1">
        <w:rPr>
          <w:rFonts w:ascii="Arial" w:hAnsi="Arial" w:cs="Arial"/>
          <w:sz w:val="22"/>
          <w:szCs w:val="22"/>
        </w:rPr>
        <w:t>The audit team</w:t>
      </w:r>
      <w:r w:rsidRPr="004A28F1">
        <w:rPr>
          <w:rFonts w:ascii="Arial" w:hAnsi="Arial" w:cs="Arial"/>
          <w:sz w:val="22"/>
          <w:szCs w:val="22"/>
        </w:rPr>
        <w:t xml:space="preserve"> </w:t>
      </w:r>
      <w:r w:rsidR="00AF2CC1" w:rsidRPr="004A28F1">
        <w:rPr>
          <w:rFonts w:ascii="Arial" w:hAnsi="Arial" w:cs="Arial"/>
          <w:sz w:val="22"/>
          <w:szCs w:val="22"/>
        </w:rPr>
        <w:t xml:space="preserve">was not able to evaluate the accomplishments </w:t>
      </w:r>
      <w:r w:rsidR="00737A24" w:rsidRPr="004A28F1">
        <w:rPr>
          <w:rFonts w:ascii="Arial" w:hAnsi="Arial" w:cs="Arial"/>
          <w:sz w:val="22"/>
          <w:szCs w:val="22"/>
        </w:rPr>
        <w:t xml:space="preserve">on the implementation of GAD Plans, Programs and Activities (PAPs) reflected </w:t>
      </w:r>
      <w:r w:rsidR="00AF2CC1" w:rsidRPr="004A28F1">
        <w:rPr>
          <w:rFonts w:ascii="Arial" w:hAnsi="Arial" w:cs="Arial"/>
          <w:sz w:val="22"/>
          <w:szCs w:val="22"/>
        </w:rPr>
        <w:t xml:space="preserve">in the </w:t>
      </w:r>
      <w:r w:rsidR="00133EDD" w:rsidRPr="004A28F1">
        <w:rPr>
          <w:rFonts w:ascii="Arial" w:hAnsi="Arial" w:cs="Arial"/>
          <w:sz w:val="22"/>
          <w:szCs w:val="22"/>
        </w:rPr>
        <w:t xml:space="preserve">GAR AR </w:t>
      </w:r>
      <w:r w:rsidR="00AF2CC1" w:rsidRPr="004A28F1">
        <w:rPr>
          <w:rFonts w:ascii="Arial" w:hAnsi="Arial" w:cs="Arial"/>
          <w:sz w:val="22"/>
          <w:szCs w:val="22"/>
        </w:rPr>
        <w:t xml:space="preserve">since </w:t>
      </w:r>
      <w:r w:rsidR="009708A8" w:rsidRPr="004A28F1">
        <w:rPr>
          <w:rFonts w:ascii="Arial" w:hAnsi="Arial" w:cs="Arial"/>
          <w:sz w:val="22"/>
          <w:szCs w:val="22"/>
        </w:rPr>
        <w:t xml:space="preserve">it </w:t>
      </w:r>
      <w:r w:rsidR="00AF2CC1" w:rsidRPr="004A28F1">
        <w:rPr>
          <w:rFonts w:ascii="Arial" w:hAnsi="Arial" w:cs="Arial"/>
          <w:sz w:val="22"/>
          <w:szCs w:val="22"/>
        </w:rPr>
        <w:t xml:space="preserve">can be properly performed based on a </w:t>
      </w:r>
      <w:r w:rsidR="00133EDD" w:rsidRPr="004A28F1">
        <w:rPr>
          <w:rFonts w:ascii="Arial" w:hAnsi="Arial" w:cs="Arial"/>
          <w:sz w:val="22"/>
          <w:szCs w:val="22"/>
        </w:rPr>
        <w:t>PCW</w:t>
      </w:r>
      <w:r w:rsidRPr="004A28F1">
        <w:rPr>
          <w:rFonts w:ascii="Arial" w:hAnsi="Arial" w:cs="Arial"/>
          <w:sz w:val="22"/>
          <w:szCs w:val="22"/>
        </w:rPr>
        <w:t>-</w:t>
      </w:r>
      <w:r w:rsidR="00133EDD" w:rsidRPr="004A28F1">
        <w:rPr>
          <w:rFonts w:ascii="Arial" w:hAnsi="Arial" w:cs="Arial"/>
          <w:sz w:val="22"/>
          <w:szCs w:val="22"/>
        </w:rPr>
        <w:t>endorsed GPB</w:t>
      </w:r>
      <w:r w:rsidR="00AF2CC1" w:rsidRPr="004A28F1">
        <w:rPr>
          <w:rFonts w:ascii="Arial" w:hAnsi="Arial" w:cs="Arial"/>
          <w:sz w:val="22"/>
          <w:szCs w:val="22"/>
        </w:rPr>
        <w:t>.</w:t>
      </w:r>
      <w:r w:rsidR="00133EDD" w:rsidRPr="004A28F1">
        <w:rPr>
          <w:rFonts w:ascii="Arial" w:hAnsi="Arial" w:cs="Arial"/>
          <w:sz w:val="22"/>
          <w:szCs w:val="22"/>
        </w:rPr>
        <w:t xml:space="preserve"> </w:t>
      </w:r>
      <w:r w:rsidR="00D40722" w:rsidRPr="004A28F1">
        <w:rPr>
          <w:rFonts w:ascii="Arial" w:hAnsi="Arial" w:cs="Arial"/>
          <w:sz w:val="22"/>
          <w:szCs w:val="22"/>
        </w:rPr>
        <w:t>According to PCW, agencies without an endorsed GPB are still bound to implement GAD P</w:t>
      </w:r>
      <w:r w:rsidR="00737A24" w:rsidRPr="004A28F1">
        <w:rPr>
          <w:rFonts w:ascii="Arial" w:hAnsi="Arial" w:cs="Arial"/>
          <w:sz w:val="22"/>
          <w:szCs w:val="22"/>
        </w:rPr>
        <w:t xml:space="preserve">APs </w:t>
      </w:r>
      <w:r w:rsidR="00D40722" w:rsidRPr="004A28F1">
        <w:rPr>
          <w:rFonts w:ascii="Arial" w:hAnsi="Arial" w:cs="Arial"/>
          <w:sz w:val="22"/>
          <w:szCs w:val="22"/>
        </w:rPr>
        <w:t xml:space="preserve">and report its implementation to PCW as long as it is aligned to the agencies mandate, adheres with the PCW-NEDA-DBM Joint Circular 2012-01 on the preparation of annual GPB and GAD AR. </w:t>
      </w:r>
    </w:p>
    <w:p w14:paraId="7E89F365" w14:textId="77777777" w:rsidR="00C205E3" w:rsidRPr="004A28F1" w:rsidRDefault="00C205E3" w:rsidP="0085093C">
      <w:pPr>
        <w:pStyle w:val="ListParagraph"/>
        <w:tabs>
          <w:tab w:val="left" w:pos="0"/>
        </w:tabs>
        <w:spacing w:after="20"/>
        <w:ind w:left="0"/>
        <w:jc w:val="both"/>
        <w:rPr>
          <w:rFonts w:ascii="Arial" w:hAnsi="Arial" w:cs="Arial"/>
          <w:sz w:val="22"/>
          <w:szCs w:val="22"/>
        </w:rPr>
      </w:pPr>
    </w:p>
    <w:p w14:paraId="3FF98C37" w14:textId="50E78952" w:rsidR="003E6B07" w:rsidRPr="004A28F1" w:rsidRDefault="00D40722" w:rsidP="00E2290C">
      <w:pPr>
        <w:tabs>
          <w:tab w:val="left" w:pos="0"/>
          <w:tab w:val="left" w:pos="567"/>
        </w:tabs>
        <w:spacing w:after="20"/>
        <w:jc w:val="both"/>
        <w:rPr>
          <w:rFonts w:ascii="Arial" w:hAnsi="Arial" w:cs="Arial"/>
          <w:sz w:val="22"/>
          <w:szCs w:val="22"/>
        </w:rPr>
      </w:pPr>
      <w:r w:rsidRPr="004A28F1">
        <w:rPr>
          <w:rFonts w:ascii="Arial" w:hAnsi="Arial" w:cs="Arial"/>
          <w:sz w:val="22"/>
          <w:szCs w:val="22"/>
        </w:rPr>
        <w:t xml:space="preserve">3.6 </w:t>
      </w:r>
      <w:r w:rsidRPr="004A28F1">
        <w:rPr>
          <w:rFonts w:ascii="Arial" w:hAnsi="Arial" w:cs="Arial"/>
          <w:sz w:val="22"/>
          <w:szCs w:val="22"/>
        </w:rPr>
        <w:tab/>
        <w:t xml:space="preserve">In view of the foregoing, </w:t>
      </w:r>
      <w:r w:rsidR="00551856" w:rsidRPr="004A28F1">
        <w:rPr>
          <w:rFonts w:ascii="Arial" w:hAnsi="Arial" w:cs="Arial"/>
          <w:sz w:val="22"/>
          <w:szCs w:val="22"/>
        </w:rPr>
        <w:t xml:space="preserve">the implementation of </w:t>
      </w:r>
      <w:r w:rsidR="00E43E90" w:rsidRPr="004A28F1">
        <w:rPr>
          <w:rFonts w:ascii="Arial" w:hAnsi="Arial" w:cs="Arial"/>
          <w:sz w:val="22"/>
          <w:szCs w:val="22"/>
        </w:rPr>
        <w:t xml:space="preserve">the </w:t>
      </w:r>
      <w:r w:rsidR="00551856" w:rsidRPr="004A28F1">
        <w:rPr>
          <w:rFonts w:ascii="Arial" w:hAnsi="Arial" w:cs="Arial"/>
          <w:sz w:val="22"/>
          <w:szCs w:val="22"/>
        </w:rPr>
        <w:t xml:space="preserve">GAD Plans, Programs and Activities </w:t>
      </w:r>
      <w:r w:rsidR="00E43E90" w:rsidRPr="004A28F1">
        <w:rPr>
          <w:rFonts w:ascii="Arial" w:hAnsi="Arial" w:cs="Arial"/>
          <w:sz w:val="22"/>
          <w:szCs w:val="22"/>
        </w:rPr>
        <w:t xml:space="preserve">in </w:t>
      </w:r>
      <w:r w:rsidR="00551856" w:rsidRPr="004A28F1">
        <w:rPr>
          <w:rFonts w:ascii="Arial" w:hAnsi="Arial" w:cs="Arial"/>
          <w:sz w:val="22"/>
          <w:szCs w:val="22"/>
        </w:rPr>
        <w:t xml:space="preserve">the GPB and </w:t>
      </w:r>
      <w:r w:rsidR="00E43E90" w:rsidRPr="004A28F1">
        <w:rPr>
          <w:rFonts w:ascii="Arial" w:hAnsi="Arial" w:cs="Arial"/>
          <w:sz w:val="22"/>
          <w:szCs w:val="22"/>
        </w:rPr>
        <w:t xml:space="preserve">reported in the </w:t>
      </w:r>
      <w:r w:rsidR="00551856" w:rsidRPr="004A28F1">
        <w:rPr>
          <w:rFonts w:ascii="Arial" w:hAnsi="Arial" w:cs="Arial"/>
          <w:sz w:val="22"/>
          <w:szCs w:val="22"/>
        </w:rPr>
        <w:t>GAD AR</w:t>
      </w:r>
      <w:r w:rsidR="00551856" w:rsidRPr="004A28F1">
        <w:rPr>
          <w:rFonts w:ascii="Arial" w:hAnsi="Arial" w:cs="Arial"/>
          <w:b/>
          <w:bCs/>
          <w:sz w:val="22"/>
          <w:szCs w:val="22"/>
        </w:rPr>
        <w:t xml:space="preserve"> </w:t>
      </w:r>
      <w:r w:rsidRPr="004A28F1">
        <w:rPr>
          <w:rFonts w:ascii="Arial" w:hAnsi="Arial" w:cs="Arial"/>
          <w:sz w:val="22"/>
          <w:szCs w:val="22"/>
        </w:rPr>
        <w:t xml:space="preserve">CY 2022 </w:t>
      </w:r>
      <w:r w:rsidR="00E43E90" w:rsidRPr="004A28F1">
        <w:rPr>
          <w:rFonts w:ascii="Arial" w:hAnsi="Arial" w:cs="Arial"/>
          <w:sz w:val="22"/>
          <w:szCs w:val="22"/>
        </w:rPr>
        <w:t>was not</w:t>
      </w:r>
      <w:r w:rsidRPr="004A28F1">
        <w:rPr>
          <w:rFonts w:ascii="Arial" w:hAnsi="Arial" w:cs="Arial"/>
          <w:sz w:val="22"/>
          <w:szCs w:val="22"/>
        </w:rPr>
        <w:t xml:space="preserve"> established. </w:t>
      </w:r>
    </w:p>
    <w:p w14:paraId="77AD6681" w14:textId="77777777" w:rsidR="00E43E90" w:rsidRPr="004A28F1" w:rsidRDefault="00E43E90" w:rsidP="00E2290C">
      <w:pPr>
        <w:tabs>
          <w:tab w:val="left" w:pos="0"/>
        </w:tabs>
        <w:spacing w:after="20"/>
        <w:jc w:val="both"/>
        <w:rPr>
          <w:rFonts w:ascii="Arial" w:hAnsi="Arial" w:cs="Arial"/>
          <w:sz w:val="22"/>
          <w:szCs w:val="22"/>
        </w:rPr>
      </w:pPr>
    </w:p>
    <w:p w14:paraId="3E407A43" w14:textId="5D8BF1FE" w:rsidR="00737A24" w:rsidRPr="004A28F1" w:rsidRDefault="003E6B07" w:rsidP="00E2290C">
      <w:pPr>
        <w:pStyle w:val="ListParagraph"/>
        <w:numPr>
          <w:ilvl w:val="1"/>
          <w:numId w:val="42"/>
        </w:numPr>
        <w:tabs>
          <w:tab w:val="left" w:pos="0"/>
          <w:tab w:val="left" w:pos="567"/>
        </w:tabs>
        <w:spacing w:after="20"/>
        <w:ind w:left="0" w:firstLine="0"/>
        <w:jc w:val="both"/>
        <w:rPr>
          <w:rFonts w:ascii="Arial" w:hAnsi="Arial" w:cs="Arial"/>
          <w:b/>
          <w:sz w:val="22"/>
          <w:szCs w:val="22"/>
        </w:rPr>
      </w:pPr>
      <w:r w:rsidRPr="004A28F1">
        <w:rPr>
          <w:rFonts w:ascii="Arial" w:hAnsi="Arial" w:cs="Arial"/>
          <w:b/>
          <w:sz w:val="22"/>
          <w:szCs w:val="22"/>
        </w:rPr>
        <w:t>We recommended and Management agreed</w:t>
      </w:r>
      <w:r w:rsidR="00D37E98" w:rsidRPr="004A28F1">
        <w:rPr>
          <w:rFonts w:ascii="Arial" w:hAnsi="Arial" w:cs="Arial"/>
          <w:b/>
          <w:sz w:val="22"/>
          <w:szCs w:val="22"/>
        </w:rPr>
        <w:t xml:space="preserve"> </w:t>
      </w:r>
      <w:r w:rsidR="0077519E" w:rsidRPr="004A28F1">
        <w:rPr>
          <w:rFonts w:ascii="Arial" w:hAnsi="Arial" w:cs="Arial"/>
          <w:b/>
          <w:sz w:val="22"/>
          <w:szCs w:val="22"/>
        </w:rPr>
        <w:t xml:space="preserve">to, </w:t>
      </w:r>
      <w:r w:rsidR="00D37E98" w:rsidRPr="004A28F1">
        <w:rPr>
          <w:rFonts w:ascii="Arial" w:hAnsi="Arial" w:cs="Arial"/>
          <w:b/>
          <w:sz w:val="22"/>
          <w:szCs w:val="22"/>
        </w:rPr>
        <w:t>henceforth</w:t>
      </w:r>
      <w:r w:rsidR="00737A24" w:rsidRPr="004A28F1">
        <w:rPr>
          <w:rFonts w:ascii="Arial" w:hAnsi="Arial" w:cs="Arial"/>
          <w:b/>
          <w:sz w:val="22"/>
          <w:szCs w:val="22"/>
        </w:rPr>
        <w:t>:</w:t>
      </w:r>
    </w:p>
    <w:p w14:paraId="7B01A7E8" w14:textId="77777777" w:rsidR="00737A24" w:rsidRPr="004A28F1" w:rsidRDefault="00737A24" w:rsidP="00E2290C">
      <w:pPr>
        <w:pStyle w:val="ListParagraph"/>
        <w:tabs>
          <w:tab w:val="left" w:pos="0"/>
        </w:tabs>
        <w:spacing w:after="20"/>
        <w:ind w:left="0"/>
        <w:jc w:val="both"/>
        <w:rPr>
          <w:rFonts w:ascii="Arial" w:hAnsi="Arial" w:cs="Arial"/>
          <w:b/>
          <w:sz w:val="22"/>
          <w:szCs w:val="22"/>
        </w:rPr>
      </w:pPr>
    </w:p>
    <w:p w14:paraId="36C55915" w14:textId="034F2A45" w:rsidR="00737A24" w:rsidRPr="004A28F1" w:rsidRDefault="00737A24" w:rsidP="00E2290C">
      <w:pPr>
        <w:pStyle w:val="ListParagraph"/>
        <w:numPr>
          <w:ilvl w:val="1"/>
          <w:numId w:val="30"/>
        </w:numPr>
        <w:tabs>
          <w:tab w:val="left" w:pos="0"/>
          <w:tab w:val="left" w:pos="1134"/>
        </w:tabs>
        <w:spacing w:after="20"/>
        <w:ind w:left="567" w:firstLine="0"/>
        <w:jc w:val="both"/>
        <w:rPr>
          <w:rFonts w:ascii="Arial" w:hAnsi="Arial" w:cs="Arial"/>
          <w:b/>
          <w:sz w:val="22"/>
          <w:szCs w:val="22"/>
        </w:rPr>
      </w:pPr>
      <w:r w:rsidRPr="004A28F1">
        <w:rPr>
          <w:rFonts w:ascii="Arial" w:hAnsi="Arial" w:cs="Arial"/>
          <w:b/>
          <w:sz w:val="22"/>
          <w:szCs w:val="22"/>
        </w:rPr>
        <w:t>P</w:t>
      </w:r>
      <w:r w:rsidR="00C76F7D" w:rsidRPr="004A28F1">
        <w:rPr>
          <w:rFonts w:ascii="Arial" w:hAnsi="Arial" w:cs="Arial"/>
          <w:b/>
          <w:sz w:val="22"/>
          <w:szCs w:val="22"/>
        </w:rPr>
        <w:t>repar</w:t>
      </w:r>
      <w:r w:rsidR="0015182D" w:rsidRPr="004A28F1">
        <w:rPr>
          <w:rFonts w:ascii="Arial" w:hAnsi="Arial" w:cs="Arial"/>
          <w:b/>
          <w:sz w:val="22"/>
          <w:szCs w:val="22"/>
        </w:rPr>
        <w:t>e</w:t>
      </w:r>
      <w:r w:rsidR="00C76F7D" w:rsidRPr="004A28F1">
        <w:rPr>
          <w:rFonts w:ascii="Arial" w:hAnsi="Arial" w:cs="Arial"/>
          <w:b/>
          <w:sz w:val="22"/>
          <w:szCs w:val="22"/>
        </w:rPr>
        <w:t xml:space="preserve"> and </w:t>
      </w:r>
      <w:r w:rsidR="0015182D" w:rsidRPr="004A28F1">
        <w:rPr>
          <w:rFonts w:ascii="Arial" w:hAnsi="Arial" w:cs="Arial"/>
          <w:b/>
          <w:sz w:val="22"/>
          <w:szCs w:val="22"/>
        </w:rPr>
        <w:t>submit</w:t>
      </w:r>
      <w:r w:rsidR="00C76F7D" w:rsidRPr="004A28F1">
        <w:rPr>
          <w:rFonts w:ascii="Arial" w:hAnsi="Arial" w:cs="Arial"/>
          <w:b/>
          <w:sz w:val="22"/>
          <w:szCs w:val="22"/>
        </w:rPr>
        <w:t xml:space="preserve"> annual GAD Plan and Budget</w:t>
      </w:r>
      <w:r w:rsidR="00D40722" w:rsidRPr="004A28F1">
        <w:rPr>
          <w:rFonts w:ascii="Arial" w:hAnsi="Arial" w:cs="Arial"/>
          <w:b/>
          <w:sz w:val="22"/>
          <w:szCs w:val="22"/>
        </w:rPr>
        <w:t xml:space="preserve"> </w:t>
      </w:r>
      <w:r w:rsidR="00D37E98" w:rsidRPr="004A28F1">
        <w:rPr>
          <w:rFonts w:ascii="Arial" w:hAnsi="Arial" w:cs="Arial"/>
          <w:b/>
          <w:sz w:val="22"/>
          <w:szCs w:val="22"/>
        </w:rPr>
        <w:t>that is compliant with the guidelines on GAD planning</w:t>
      </w:r>
      <w:r w:rsidR="0077519E" w:rsidRPr="004A28F1">
        <w:rPr>
          <w:rFonts w:ascii="Arial" w:hAnsi="Arial" w:cs="Arial"/>
          <w:b/>
          <w:sz w:val="22"/>
          <w:szCs w:val="22"/>
        </w:rPr>
        <w:t xml:space="preserve"> and</w:t>
      </w:r>
      <w:r w:rsidR="00D37E98" w:rsidRPr="004A28F1">
        <w:rPr>
          <w:rFonts w:ascii="Arial" w:hAnsi="Arial" w:cs="Arial"/>
          <w:b/>
          <w:sz w:val="22"/>
          <w:szCs w:val="22"/>
        </w:rPr>
        <w:t xml:space="preserve"> budgeting, to obtain a PCW-endorsed GPB as basis for the proper implementation of GAD</w:t>
      </w:r>
      <w:r w:rsidRPr="004A28F1">
        <w:rPr>
          <w:rFonts w:ascii="Arial" w:hAnsi="Arial" w:cs="Arial"/>
          <w:b/>
          <w:sz w:val="22"/>
          <w:szCs w:val="22"/>
        </w:rPr>
        <w:t xml:space="preserve"> plans, </w:t>
      </w:r>
      <w:r w:rsidR="00D37E98" w:rsidRPr="004A28F1">
        <w:rPr>
          <w:rFonts w:ascii="Arial" w:hAnsi="Arial" w:cs="Arial"/>
          <w:b/>
          <w:sz w:val="22"/>
          <w:szCs w:val="22"/>
        </w:rPr>
        <w:t>programs and activities</w:t>
      </w:r>
      <w:r w:rsidRPr="004A28F1">
        <w:rPr>
          <w:rFonts w:ascii="Arial" w:hAnsi="Arial" w:cs="Arial"/>
          <w:b/>
          <w:sz w:val="22"/>
          <w:szCs w:val="22"/>
        </w:rPr>
        <w:t>; and</w:t>
      </w:r>
    </w:p>
    <w:p w14:paraId="33AA2B9E" w14:textId="77777777" w:rsidR="00737A24" w:rsidRPr="004A28F1" w:rsidRDefault="00737A24" w:rsidP="00E2290C">
      <w:pPr>
        <w:pStyle w:val="ListParagraph"/>
        <w:tabs>
          <w:tab w:val="left" w:pos="0"/>
        </w:tabs>
        <w:spacing w:after="20"/>
        <w:ind w:left="567"/>
        <w:jc w:val="both"/>
        <w:rPr>
          <w:rFonts w:ascii="Arial" w:hAnsi="Arial" w:cs="Arial"/>
          <w:b/>
          <w:sz w:val="22"/>
          <w:szCs w:val="22"/>
        </w:rPr>
      </w:pPr>
    </w:p>
    <w:p w14:paraId="296170FD" w14:textId="7EFD5738" w:rsidR="003E6B07" w:rsidRPr="004A28F1" w:rsidRDefault="00737A24" w:rsidP="00E2290C">
      <w:pPr>
        <w:pStyle w:val="ListParagraph"/>
        <w:numPr>
          <w:ilvl w:val="1"/>
          <w:numId w:val="30"/>
        </w:numPr>
        <w:tabs>
          <w:tab w:val="left" w:pos="0"/>
          <w:tab w:val="left" w:pos="1134"/>
        </w:tabs>
        <w:spacing w:after="20"/>
        <w:ind w:left="567" w:firstLine="0"/>
        <w:jc w:val="both"/>
        <w:rPr>
          <w:rFonts w:ascii="Arial" w:hAnsi="Arial" w:cs="Arial"/>
          <w:b/>
          <w:sz w:val="22"/>
          <w:szCs w:val="22"/>
        </w:rPr>
      </w:pPr>
      <w:r w:rsidRPr="004A28F1">
        <w:rPr>
          <w:rFonts w:ascii="Arial" w:hAnsi="Arial" w:cs="Arial"/>
          <w:b/>
          <w:sz w:val="22"/>
          <w:szCs w:val="22"/>
        </w:rPr>
        <w:t>Prepare the GAD AR based on the PCW-endorsed GPB and reflect the accomplishments of GAD plans, programs and activities in the GAD AR.</w:t>
      </w:r>
      <w:r w:rsidR="00D37E98" w:rsidRPr="004A28F1">
        <w:rPr>
          <w:rFonts w:ascii="Arial" w:hAnsi="Arial" w:cs="Arial"/>
          <w:b/>
          <w:sz w:val="22"/>
          <w:szCs w:val="22"/>
        </w:rPr>
        <w:t xml:space="preserve"> </w:t>
      </w:r>
    </w:p>
    <w:p w14:paraId="080F862F" w14:textId="77777777" w:rsidR="00A97A12" w:rsidRPr="004A28F1" w:rsidRDefault="00A97A12" w:rsidP="0085093C">
      <w:pPr>
        <w:pStyle w:val="Title"/>
        <w:tabs>
          <w:tab w:val="clear" w:pos="540"/>
          <w:tab w:val="clear" w:pos="6660"/>
        </w:tabs>
        <w:ind w:left="1170" w:hanging="450"/>
        <w:jc w:val="left"/>
      </w:pPr>
    </w:p>
    <w:p w14:paraId="6D99D9E4" w14:textId="77777777" w:rsidR="00F91301" w:rsidRPr="004A28F1" w:rsidRDefault="00F91301" w:rsidP="00E2290C">
      <w:pPr>
        <w:pStyle w:val="NoSpacing1"/>
        <w:tabs>
          <w:tab w:val="left" w:pos="567"/>
        </w:tabs>
        <w:jc w:val="both"/>
        <w:rPr>
          <w:rFonts w:ascii="Arial" w:hAnsi="Arial" w:cs="Arial"/>
          <w:b/>
        </w:rPr>
      </w:pPr>
      <w:r w:rsidRPr="004A28F1">
        <w:rPr>
          <w:rFonts w:ascii="Arial" w:hAnsi="Arial" w:cs="Arial"/>
          <w:b/>
          <w:bCs/>
        </w:rPr>
        <w:t>Compliance</w:t>
      </w:r>
      <w:r w:rsidRPr="004A28F1">
        <w:rPr>
          <w:rFonts w:ascii="Arial" w:hAnsi="Arial" w:cs="Arial"/>
          <w:b/>
        </w:rPr>
        <w:t xml:space="preserve"> with Tax Laws</w:t>
      </w:r>
    </w:p>
    <w:p w14:paraId="1FD5D425" w14:textId="77777777" w:rsidR="00F91301" w:rsidRPr="004A28F1" w:rsidRDefault="00F91301" w:rsidP="0085093C">
      <w:pPr>
        <w:pStyle w:val="ListParagraph"/>
        <w:spacing w:line="276" w:lineRule="auto"/>
        <w:ind w:left="0"/>
        <w:jc w:val="both"/>
        <w:rPr>
          <w:rFonts w:ascii="Arial" w:hAnsi="Arial" w:cs="Arial"/>
          <w:sz w:val="22"/>
          <w:szCs w:val="22"/>
        </w:rPr>
      </w:pPr>
    </w:p>
    <w:p w14:paraId="41AB03BB" w14:textId="73EFD975" w:rsidR="00F91301" w:rsidRPr="004A28F1" w:rsidRDefault="00F91301" w:rsidP="00E2290C">
      <w:pPr>
        <w:pStyle w:val="ListParagraph"/>
        <w:numPr>
          <w:ilvl w:val="0"/>
          <w:numId w:val="28"/>
        </w:numPr>
        <w:ind w:left="0" w:firstLine="0"/>
        <w:jc w:val="both"/>
        <w:rPr>
          <w:rFonts w:ascii="Arial" w:hAnsi="Arial" w:cs="Arial"/>
          <w:sz w:val="22"/>
          <w:szCs w:val="22"/>
        </w:rPr>
      </w:pPr>
      <w:r w:rsidRPr="004A28F1">
        <w:rPr>
          <w:rFonts w:ascii="Arial" w:hAnsi="Arial" w:cs="Arial"/>
          <w:sz w:val="22"/>
          <w:szCs w:val="22"/>
        </w:rPr>
        <w:t>Taxes withheld for the month were remitted on or before the tenth day of the following month, except those withheld for the month of December which were remitted on or before the 15</w:t>
      </w:r>
      <w:r w:rsidRPr="004A28F1">
        <w:rPr>
          <w:rFonts w:ascii="Arial" w:hAnsi="Arial" w:cs="Arial"/>
          <w:sz w:val="22"/>
          <w:szCs w:val="22"/>
          <w:vertAlign w:val="superscript"/>
        </w:rPr>
        <w:t>th</w:t>
      </w:r>
      <w:r w:rsidRPr="004A28F1">
        <w:rPr>
          <w:rFonts w:ascii="Arial" w:hAnsi="Arial" w:cs="Arial"/>
          <w:sz w:val="22"/>
          <w:szCs w:val="22"/>
        </w:rPr>
        <w:t xml:space="preserve"> day of January of the following year.</w:t>
      </w:r>
    </w:p>
    <w:p w14:paraId="40989402" w14:textId="77777777" w:rsidR="00F91301" w:rsidRPr="004A28F1" w:rsidRDefault="00F91301" w:rsidP="0085093C">
      <w:pPr>
        <w:tabs>
          <w:tab w:val="left" w:pos="0"/>
        </w:tabs>
        <w:spacing w:after="20"/>
        <w:jc w:val="both"/>
        <w:rPr>
          <w:rFonts w:ascii="Arial" w:hAnsi="Arial" w:cs="Arial"/>
          <w:sz w:val="22"/>
          <w:szCs w:val="22"/>
        </w:rPr>
      </w:pPr>
    </w:p>
    <w:p w14:paraId="72BDB808" w14:textId="7815B9B6" w:rsidR="00F91301" w:rsidRPr="004A28F1" w:rsidRDefault="00F91301" w:rsidP="00E2290C">
      <w:pPr>
        <w:pStyle w:val="ListParagraph"/>
        <w:tabs>
          <w:tab w:val="left" w:pos="0"/>
        </w:tabs>
        <w:spacing w:after="20"/>
        <w:ind w:left="0"/>
        <w:jc w:val="both"/>
        <w:rPr>
          <w:rFonts w:ascii="Arial" w:hAnsi="Arial" w:cs="Arial"/>
          <w:sz w:val="22"/>
          <w:szCs w:val="22"/>
        </w:rPr>
      </w:pPr>
      <w:r w:rsidRPr="004A28F1">
        <w:rPr>
          <w:rFonts w:ascii="Arial" w:hAnsi="Arial" w:cs="Arial"/>
          <w:sz w:val="22"/>
          <w:szCs w:val="22"/>
        </w:rPr>
        <w:t>Information on taxes and licenses paid or accrued during the taxable year 202</w:t>
      </w:r>
      <w:r w:rsidR="007516A5" w:rsidRPr="004A28F1">
        <w:rPr>
          <w:rFonts w:ascii="Arial" w:hAnsi="Arial" w:cs="Arial"/>
          <w:sz w:val="22"/>
          <w:szCs w:val="22"/>
        </w:rPr>
        <w:t>2</w:t>
      </w:r>
      <w:r w:rsidRPr="004A28F1">
        <w:rPr>
          <w:rFonts w:ascii="Arial" w:hAnsi="Arial" w:cs="Arial"/>
          <w:sz w:val="22"/>
          <w:szCs w:val="22"/>
        </w:rPr>
        <w:t xml:space="preserve"> w</w:t>
      </w:r>
      <w:r w:rsidR="001170FF" w:rsidRPr="004A28F1">
        <w:rPr>
          <w:rFonts w:ascii="Arial" w:hAnsi="Arial" w:cs="Arial"/>
          <w:sz w:val="22"/>
          <w:szCs w:val="22"/>
        </w:rPr>
        <w:t>as</w:t>
      </w:r>
      <w:r w:rsidRPr="004A28F1">
        <w:rPr>
          <w:rFonts w:ascii="Arial" w:hAnsi="Arial" w:cs="Arial"/>
          <w:sz w:val="22"/>
          <w:szCs w:val="22"/>
        </w:rPr>
        <w:t xml:space="preserve"> disclosed in Note 2</w:t>
      </w:r>
      <w:r w:rsidR="007516A5" w:rsidRPr="004A28F1">
        <w:rPr>
          <w:rFonts w:ascii="Arial" w:hAnsi="Arial" w:cs="Arial"/>
          <w:sz w:val="22"/>
          <w:szCs w:val="22"/>
        </w:rPr>
        <w:t>4</w:t>
      </w:r>
      <w:r w:rsidRPr="004A28F1">
        <w:rPr>
          <w:rFonts w:ascii="Arial" w:hAnsi="Arial" w:cs="Arial"/>
          <w:sz w:val="22"/>
          <w:szCs w:val="22"/>
        </w:rPr>
        <w:t xml:space="preserve"> to the Financial Statements.  The taxes withheld from compensation, benefits and other sources amounting to P</w:t>
      </w:r>
      <w:r w:rsidR="007516A5" w:rsidRPr="004A28F1">
        <w:rPr>
          <w:rFonts w:ascii="Arial" w:hAnsi="Arial" w:cs="Arial"/>
          <w:sz w:val="22"/>
          <w:szCs w:val="22"/>
        </w:rPr>
        <w:t>2.638</w:t>
      </w:r>
      <w:r w:rsidRPr="004A28F1">
        <w:rPr>
          <w:rFonts w:ascii="Arial" w:hAnsi="Arial" w:cs="Arial"/>
          <w:sz w:val="22"/>
          <w:szCs w:val="22"/>
        </w:rPr>
        <w:t xml:space="preserve"> million were remitted to the Bureau of Internal Revenue in accordance with the deadlines on payment/remittance of taxes prescribed under the National Internal Revenue Code.</w:t>
      </w:r>
    </w:p>
    <w:p w14:paraId="7AE0DF9B" w14:textId="77777777" w:rsidR="00F91301" w:rsidRPr="004A28F1" w:rsidRDefault="00F91301" w:rsidP="00F91301">
      <w:pPr>
        <w:tabs>
          <w:tab w:val="left" w:pos="720"/>
        </w:tabs>
        <w:jc w:val="both"/>
        <w:rPr>
          <w:rFonts w:ascii="Arial" w:hAnsi="Arial" w:cs="Arial"/>
          <w:b/>
          <w:sz w:val="22"/>
          <w:szCs w:val="22"/>
        </w:rPr>
      </w:pPr>
    </w:p>
    <w:p w14:paraId="441C5ACE" w14:textId="77777777" w:rsidR="00A955B8" w:rsidRPr="004A28F1" w:rsidRDefault="00A955B8" w:rsidP="00F91301">
      <w:pPr>
        <w:tabs>
          <w:tab w:val="left" w:pos="720"/>
        </w:tabs>
        <w:jc w:val="both"/>
        <w:rPr>
          <w:rFonts w:ascii="Arial" w:hAnsi="Arial" w:cs="Arial"/>
          <w:b/>
          <w:sz w:val="22"/>
          <w:szCs w:val="22"/>
        </w:rPr>
      </w:pPr>
    </w:p>
    <w:p w14:paraId="1FEF4934" w14:textId="77777777" w:rsidR="00F91301" w:rsidRPr="004A28F1" w:rsidRDefault="00F91301" w:rsidP="00F91301">
      <w:pPr>
        <w:tabs>
          <w:tab w:val="left" w:pos="720"/>
        </w:tabs>
        <w:jc w:val="both"/>
        <w:rPr>
          <w:rFonts w:ascii="Arial" w:hAnsi="Arial" w:cs="Arial"/>
          <w:b/>
          <w:sz w:val="22"/>
          <w:szCs w:val="22"/>
        </w:rPr>
      </w:pPr>
      <w:r w:rsidRPr="004A28F1">
        <w:rPr>
          <w:rFonts w:ascii="Arial" w:hAnsi="Arial" w:cs="Arial"/>
          <w:b/>
          <w:sz w:val="22"/>
          <w:szCs w:val="22"/>
        </w:rPr>
        <w:t>SSS Contributions and Remittances</w:t>
      </w:r>
    </w:p>
    <w:p w14:paraId="39D8082A" w14:textId="77777777" w:rsidR="00F91301" w:rsidRPr="004A28F1" w:rsidRDefault="00F91301" w:rsidP="00F91301">
      <w:pPr>
        <w:tabs>
          <w:tab w:val="left" w:pos="720"/>
        </w:tabs>
        <w:jc w:val="both"/>
        <w:rPr>
          <w:rFonts w:ascii="Arial" w:hAnsi="Arial" w:cs="Arial"/>
          <w:sz w:val="22"/>
          <w:szCs w:val="22"/>
        </w:rPr>
      </w:pPr>
    </w:p>
    <w:p w14:paraId="2FBDF68B" w14:textId="05C656F8" w:rsidR="00F91301" w:rsidRPr="004A28F1" w:rsidRDefault="00F91301" w:rsidP="00E2290C">
      <w:pPr>
        <w:pStyle w:val="ListParagraph"/>
        <w:numPr>
          <w:ilvl w:val="0"/>
          <w:numId w:val="28"/>
        </w:numPr>
        <w:ind w:left="0" w:firstLine="0"/>
        <w:jc w:val="both"/>
        <w:rPr>
          <w:rFonts w:ascii="Arial" w:hAnsi="Arial" w:cs="Arial"/>
          <w:sz w:val="22"/>
          <w:szCs w:val="22"/>
        </w:rPr>
      </w:pPr>
      <w:r w:rsidRPr="004A28F1">
        <w:rPr>
          <w:rFonts w:ascii="Arial" w:hAnsi="Arial" w:cs="Arial"/>
          <w:sz w:val="22"/>
          <w:szCs w:val="22"/>
        </w:rPr>
        <w:t>In 202</w:t>
      </w:r>
      <w:r w:rsidR="007516A5" w:rsidRPr="004A28F1">
        <w:rPr>
          <w:rFonts w:ascii="Arial" w:hAnsi="Arial" w:cs="Arial"/>
          <w:sz w:val="22"/>
          <w:szCs w:val="22"/>
        </w:rPr>
        <w:t>2</w:t>
      </w:r>
      <w:r w:rsidRPr="004A28F1">
        <w:rPr>
          <w:rFonts w:ascii="Arial" w:hAnsi="Arial" w:cs="Arial"/>
          <w:sz w:val="22"/>
          <w:szCs w:val="22"/>
        </w:rPr>
        <w:t xml:space="preserve">, the Bank complied with Republic Act </w:t>
      </w:r>
      <w:r w:rsidR="00790756" w:rsidRPr="004A28F1">
        <w:rPr>
          <w:rFonts w:ascii="Arial" w:hAnsi="Arial" w:cs="Arial"/>
          <w:sz w:val="22"/>
          <w:szCs w:val="22"/>
        </w:rPr>
        <w:t xml:space="preserve">(RA) </w:t>
      </w:r>
      <w:r w:rsidRPr="004A28F1">
        <w:rPr>
          <w:rFonts w:ascii="Arial" w:hAnsi="Arial" w:cs="Arial"/>
          <w:sz w:val="22"/>
          <w:szCs w:val="22"/>
        </w:rPr>
        <w:t>No. 8282 on the collection and remittance of contributions to SSS as follows:</w:t>
      </w:r>
    </w:p>
    <w:p w14:paraId="25A810AF" w14:textId="77777777" w:rsidR="00F91301" w:rsidRPr="004A28F1" w:rsidRDefault="00F91301" w:rsidP="00F91301">
      <w:pPr>
        <w:tabs>
          <w:tab w:val="left" w:pos="720"/>
        </w:tabs>
        <w:jc w:val="both"/>
        <w:rPr>
          <w:rFonts w:ascii="Arial" w:hAnsi="Arial" w:cs="Arial"/>
          <w:sz w:val="22"/>
          <w:szCs w:val="22"/>
        </w:rPr>
      </w:pPr>
    </w:p>
    <w:p w14:paraId="3B94C96A" w14:textId="77777777" w:rsidR="00F91301" w:rsidRPr="004A28F1" w:rsidRDefault="00F91301" w:rsidP="00F91301">
      <w:pPr>
        <w:pStyle w:val="ListParagraph"/>
        <w:numPr>
          <w:ilvl w:val="2"/>
          <w:numId w:val="3"/>
        </w:numPr>
        <w:jc w:val="both"/>
        <w:rPr>
          <w:rFonts w:ascii="Arial" w:hAnsi="Arial" w:cs="Arial"/>
          <w:sz w:val="22"/>
          <w:szCs w:val="22"/>
        </w:rPr>
      </w:pPr>
      <w:r w:rsidRPr="004A28F1">
        <w:rPr>
          <w:rFonts w:ascii="Arial" w:hAnsi="Arial" w:cs="Arial"/>
          <w:sz w:val="22"/>
          <w:szCs w:val="22"/>
        </w:rPr>
        <w:t>Mandatory monthly contribution of covered employees and employer in accordance with Section 18; and</w:t>
      </w:r>
    </w:p>
    <w:p w14:paraId="55FFB80E" w14:textId="77777777" w:rsidR="00F91301" w:rsidRPr="004A28F1" w:rsidRDefault="00F91301" w:rsidP="00F91301">
      <w:pPr>
        <w:pStyle w:val="ListParagraph"/>
        <w:tabs>
          <w:tab w:val="left" w:pos="720"/>
        </w:tabs>
        <w:jc w:val="both"/>
        <w:rPr>
          <w:rFonts w:ascii="Arial" w:hAnsi="Arial" w:cs="Arial"/>
          <w:sz w:val="22"/>
          <w:szCs w:val="22"/>
        </w:rPr>
      </w:pPr>
    </w:p>
    <w:p w14:paraId="4E44D50A" w14:textId="77777777" w:rsidR="00F91301" w:rsidRPr="004A28F1" w:rsidRDefault="00F91301" w:rsidP="00F91301">
      <w:pPr>
        <w:pStyle w:val="ListParagraph"/>
        <w:numPr>
          <w:ilvl w:val="2"/>
          <w:numId w:val="3"/>
        </w:numPr>
        <w:jc w:val="both"/>
        <w:rPr>
          <w:rFonts w:ascii="Arial" w:hAnsi="Arial" w:cs="Arial"/>
          <w:sz w:val="22"/>
          <w:szCs w:val="22"/>
        </w:rPr>
      </w:pPr>
      <w:r w:rsidRPr="004A28F1">
        <w:rPr>
          <w:rFonts w:ascii="Arial" w:hAnsi="Arial" w:cs="Arial"/>
          <w:sz w:val="22"/>
          <w:szCs w:val="22"/>
        </w:rPr>
        <w:t>Remittance of employee’s and employer’s contributions and employees’ compensation premium within the due date pursuant to Section 19.</w:t>
      </w:r>
    </w:p>
    <w:p w14:paraId="41ADC650" w14:textId="77777777" w:rsidR="00F91301" w:rsidRPr="004A28F1" w:rsidRDefault="00F91301" w:rsidP="00F91301">
      <w:pPr>
        <w:pStyle w:val="ListParagraph"/>
        <w:rPr>
          <w:rFonts w:ascii="Arial" w:hAnsi="Arial" w:cs="Arial"/>
          <w:sz w:val="22"/>
          <w:szCs w:val="22"/>
        </w:rPr>
      </w:pPr>
    </w:p>
    <w:p w14:paraId="429DB132" w14:textId="77777777" w:rsidR="00F91301" w:rsidRPr="004A28F1" w:rsidRDefault="00F91301" w:rsidP="00F91301">
      <w:pPr>
        <w:pStyle w:val="ListParagraph"/>
        <w:ind w:left="0"/>
        <w:jc w:val="both"/>
        <w:rPr>
          <w:rFonts w:ascii="Arial" w:hAnsi="Arial" w:cs="Arial"/>
          <w:sz w:val="22"/>
          <w:szCs w:val="22"/>
        </w:rPr>
      </w:pPr>
    </w:p>
    <w:p w14:paraId="36A3A59A" w14:textId="77777777" w:rsidR="00F91301" w:rsidRPr="004A28F1" w:rsidRDefault="00F91301" w:rsidP="00F91301">
      <w:pPr>
        <w:tabs>
          <w:tab w:val="left" w:pos="720"/>
        </w:tabs>
        <w:jc w:val="both"/>
        <w:rPr>
          <w:rFonts w:ascii="Arial" w:hAnsi="Arial" w:cs="Arial"/>
          <w:b/>
          <w:sz w:val="22"/>
          <w:szCs w:val="22"/>
        </w:rPr>
      </w:pPr>
      <w:r w:rsidRPr="004A28F1">
        <w:rPr>
          <w:rFonts w:ascii="Arial" w:hAnsi="Arial" w:cs="Arial"/>
          <w:b/>
          <w:sz w:val="22"/>
          <w:szCs w:val="22"/>
        </w:rPr>
        <w:t>Philhealth and Pag-IBIG Premiums</w:t>
      </w:r>
    </w:p>
    <w:p w14:paraId="3F14E800" w14:textId="77777777" w:rsidR="00F91301" w:rsidRPr="004A28F1" w:rsidRDefault="00F91301" w:rsidP="00F91301">
      <w:pPr>
        <w:pStyle w:val="BlockText"/>
        <w:ind w:left="0" w:right="0"/>
        <w:rPr>
          <w:bCs/>
          <w:sz w:val="22"/>
          <w:szCs w:val="22"/>
        </w:rPr>
      </w:pPr>
    </w:p>
    <w:p w14:paraId="201526C9" w14:textId="582F2453" w:rsidR="00F91301" w:rsidRPr="004A28F1" w:rsidRDefault="00F91301" w:rsidP="00E2290C">
      <w:pPr>
        <w:pStyle w:val="ListParagraph"/>
        <w:numPr>
          <w:ilvl w:val="0"/>
          <w:numId w:val="28"/>
        </w:numPr>
        <w:ind w:left="0" w:firstLine="0"/>
        <w:jc w:val="both"/>
        <w:rPr>
          <w:rFonts w:ascii="Arial" w:hAnsi="Arial" w:cs="Arial"/>
          <w:sz w:val="22"/>
          <w:szCs w:val="22"/>
        </w:rPr>
      </w:pPr>
      <w:r w:rsidRPr="004A28F1">
        <w:rPr>
          <w:rFonts w:ascii="Arial" w:hAnsi="Arial" w:cs="Arial"/>
          <w:sz w:val="22"/>
          <w:szCs w:val="22"/>
        </w:rPr>
        <w:t>In 202</w:t>
      </w:r>
      <w:r w:rsidR="007516A5" w:rsidRPr="004A28F1">
        <w:rPr>
          <w:rFonts w:ascii="Arial" w:hAnsi="Arial" w:cs="Arial"/>
          <w:sz w:val="22"/>
          <w:szCs w:val="22"/>
        </w:rPr>
        <w:t>2</w:t>
      </w:r>
      <w:r w:rsidRPr="004A28F1">
        <w:rPr>
          <w:rFonts w:ascii="Arial" w:hAnsi="Arial" w:cs="Arial"/>
          <w:sz w:val="22"/>
          <w:szCs w:val="22"/>
        </w:rPr>
        <w:t xml:space="preserve">, the Bank complied with Section 18, Rule III, Title III, of the implementing Rules and Regulations of RA No. 7875, as amended, in the payment of national health insurance premium contributions to the Philhealth.  </w:t>
      </w:r>
    </w:p>
    <w:p w14:paraId="1D96525E" w14:textId="77777777" w:rsidR="007516A5" w:rsidRPr="004A28F1" w:rsidRDefault="007516A5" w:rsidP="0085093C">
      <w:pPr>
        <w:pStyle w:val="ListParagraph"/>
        <w:ind w:left="0"/>
        <w:jc w:val="both"/>
        <w:rPr>
          <w:rFonts w:ascii="Arial" w:hAnsi="Arial" w:cs="Arial"/>
          <w:sz w:val="22"/>
          <w:szCs w:val="22"/>
        </w:rPr>
      </w:pPr>
    </w:p>
    <w:p w14:paraId="00F82678" w14:textId="741FE111" w:rsidR="00F91301" w:rsidRPr="004A28F1" w:rsidRDefault="00F91301" w:rsidP="00E2290C">
      <w:pPr>
        <w:pStyle w:val="ListParagraph"/>
        <w:tabs>
          <w:tab w:val="left" w:pos="0"/>
        </w:tabs>
        <w:spacing w:after="20"/>
        <w:ind w:left="0"/>
        <w:jc w:val="both"/>
        <w:rPr>
          <w:rFonts w:ascii="Arial" w:hAnsi="Arial" w:cs="Arial"/>
          <w:sz w:val="22"/>
          <w:szCs w:val="22"/>
        </w:rPr>
      </w:pPr>
      <w:r w:rsidRPr="004A28F1">
        <w:rPr>
          <w:rFonts w:ascii="Arial" w:hAnsi="Arial" w:cs="Arial"/>
          <w:sz w:val="22"/>
          <w:szCs w:val="22"/>
        </w:rPr>
        <w:t>The Bank also complied with Sections 2 and 3, Rule VII, of the Implementing Rules and Regulations of RA No. 9679 in the collection and remittance of contributions to the Pag-IBIG Fund.</w:t>
      </w:r>
    </w:p>
    <w:p w14:paraId="4AE88A2E" w14:textId="77777777" w:rsidR="00F91301" w:rsidRPr="004A28F1" w:rsidRDefault="00F91301" w:rsidP="0085093C">
      <w:pPr>
        <w:pStyle w:val="ListParagraph"/>
        <w:ind w:left="567"/>
        <w:rPr>
          <w:rFonts w:ascii="Arial" w:hAnsi="Arial" w:cs="Arial"/>
          <w:b/>
          <w:sz w:val="22"/>
          <w:szCs w:val="22"/>
        </w:rPr>
      </w:pPr>
    </w:p>
    <w:p w14:paraId="2B92E4CB" w14:textId="77777777" w:rsidR="00E43E90" w:rsidRPr="004A28F1" w:rsidRDefault="00E43E90" w:rsidP="00F91301">
      <w:pPr>
        <w:pStyle w:val="ListParagraph"/>
        <w:ind w:left="0"/>
        <w:rPr>
          <w:rFonts w:ascii="Arial" w:hAnsi="Arial" w:cs="Arial"/>
          <w:b/>
          <w:sz w:val="22"/>
          <w:szCs w:val="22"/>
        </w:rPr>
      </w:pPr>
    </w:p>
    <w:p w14:paraId="57457856" w14:textId="7BD880B6" w:rsidR="00F91301" w:rsidRPr="004A28F1" w:rsidRDefault="00FE31AD" w:rsidP="00F91301">
      <w:pPr>
        <w:pStyle w:val="ListParagraph"/>
        <w:ind w:left="0"/>
        <w:rPr>
          <w:rFonts w:ascii="Arial" w:hAnsi="Arial" w:cs="Arial"/>
          <w:b/>
          <w:sz w:val="22"/>
          <w:szCs w:val="22"/>
        </w:rPr>
      </w:pPr>
      <w:r w:rsidRPr="004A28F1">
        <w:rPr>
          <w:rFonts w:ascii="Arial" w:hAnsi="Arial" w:cs="Arial"/>
          <w:b/>
          <w:sz w:val="22"/>
          <w:szCs w:val="22"/>
        </w:rPr>
        <w:t xml:space="preserve">Status of </w:t>
      </w:r>
      <w:r w:rsidR="00F91301" w:rsidRPr="004A28F1">
        <w:rPr>
          <w:rFonts w:ascii="Arial" w:hAnsi="Arial" w:cs="Arial"/>
          <w:b/>
          <w:sz w:val="22"/>
          <w:szCs w:val="22"/>
        </w:rPr>
        <w:t>Disallowances</w:t>
      </w:r>
      <w:r w:rsidRPr="004A28F1">
        <w:rPr>
          <w:rFonts w:ascii="Arial" w:hAnsi="Arial" w:cs="Arial"/>
          <w:b/>
          <w:sz w:val="22"/>
          <w:szCs w:val="22"/>
        </w:rPr>
        <w:t>, Suspensions</w:t>
      </w:r>
      <w:r w:rsidR="00F91301" w:rsidRPr="004A28F1">
        <w:rPr>
          <w:rFonts w:ascii="Arial" w:hAnsi="Arial" w:cs="Arial"/>
          <w:b/>
          <w:sz w:val="22"/>
          <w:szCs w:val="22"/>
        </w:rPr>
        <w:t xml:space="preserve"> and Charges </w:t>
      </w:r>
    </w:p>
    <w:p w14:paraId="1F265CA7" w14:textId="77777777" w:rsidR="00F91301" w:rsidRPr="004A28F1" w:rsidRDefault="00F91301" w:rsidP="00F91301">
      <w:pPr>
        <w:pStyle w:val="ListParagraph"/>
        <w:ind w:left="0"/>
        <w:rPr>
          <w:rFonts w:ascii="Arial" w:hAnsi="Arial" w:cs="Arial"/>
          <w:sz w:val="22"/>
          <w:szCs w:val="22"/>
        </w:rPr>
      </w:pPr>
    </w:p>
    <w:p w14:paraId="1DBD2B3E" w14:textId="336BD9AE" w:rsidR="00F91301" w:rsidRPr="004A28F1" w:rsidRDefault="00F91301" w:rsidP="00E2290C">
      <w:pPr>
        <w:pStyle w:val="ListParagraph"/>
        <w:numPr>
          <w:ilvl w:val="0"/>
          <w:numId w:val="28"/>
        </w:numPr>
        <w:ind w:left="0" w:firstLine="0"/>
        <w:jc w:val="both"/>
        <w:rPr>
          <w:rFonts w:ascii="Arial" w:hAnsi="Arial" w:cs="Arial"/>
          <w:sz w:val="22"/>
          <w:szCs w:val="22"/>
        </w:rPr>
      </w:pPr>
      <w:r w:rsidRPr="004A28F1">
        <w:rPr>
          <w:rFonts w:ascii="Arial" w:hAnsi="Arial" w:cs="Arial"/>
          <w:sz w:val="22"/>
          <w:szCs w:val="22"/>
        </w:rPr>
        <w:t>The total disallowances as of December 31, 2022 amounted to P26.790 million, details as follows:</w:t>
      </w:r>
    </w:p>
    <w:p w14:paraId="7D30A251" w14:textId="77777777" w:rsidR="00F91301" w:rsidRPr="004A28F1" w:rsidRDefault="00F91301" w:rsidP="00F91301">
      <w:pPr>
        <w:tabs>
          <w:tab w:val="left" w:pos="720"/>
        </w:tabs>
        <w:jc w:val="both"/>
        <w:rPr>
          <w:rFonts w:ascii="Arial" w:hAnsi="Arial" w:cs="Arial"/>
          <w:sz w:val="22"/>
          <w:szCs w:val="22"/>
        </w:rPr>
      </w:pPr>
    </w:p>
    <w:tbl>
      <w:tblPr>
        <w:tblW w:w="8637" w:type="dxa"/>
        <w:tblInd w:w="108" w:type="dxa"/>
        <w:tblBorders>
          <w:top w:val="single" w:sz="4" w:space="0" w:color="auto"/>
          <w:bottom w:val="single" w:sz="4" w:space="0" w:color="auto"/>
        </w:tblBorders>
        <w:tblLayout w:type="fixed"/>
        <w:tblCellMar>
          <w:left w:w="115" w:type="dxa"/>
          <w:right w:w="115" w:type="dxa"/>
        </w:tblCellMar>
        <w:tblLook w:val="04A0" w:firstRow="1" w:lastRow="0" w:firstColumn="1" w:lastColumn="0" w:noHBand="0" w:noVBand="1"/>
      </w:tblPr>
      <w:tblGrid>
        <w:gridCol w:w="3690"/>
        <w:gridCol w:w="1717"/>
        <w:gridCol w:w="3230"/>
      </w:tblGrid>
      <w:tr w:rsidR="004A28F1" w:rsidRPr="004A28F1" w14:paraId="4911A0C9" w14:textId="77777777" w:rsidTr="000031D6">
        <w:trPr>
          <w:tblHeader/>
        </w:trPr>
        <w:tc>
          <w:tcPr>
            <w:tcW w:w="3690" w:type="dxa"/>
            <w:tcBorders>
              <w:top w:val="single" w:sz="4" w:space="0" w:color="auto"/>
              <w:bottom w:val="single" w:sz="4" w:space="0" w:color="auto"/>
            </w:tcBorders>
            <w:shd w:val="clear" w:color="auto" w:fill="auto"/>
            <w:vAlign w:val="center"/>
          </w:tcPr>
          <w:p w14:paraId="4DCFF17D" w14:textId="77777777" w:rsidR="00F91301" w:rsidRPr="004A28F1" w:rsidRDefault="00F91301" w:rsidP="000031D6">
            <w:pPr>
              <w:tabs>
                <w:tab w:val="left" w:pos="720"/>
              </w:tabs>
              <w:spacing w:before="60" w:after="60"/>
              <w:jc w:val="center"/>
              <w:rPr>
                <w:rFonts w:ascii="Arial" w:hAnsi="Arial" w:cs="Arial"/>
                <w:b/>
                <w:sz w:val="22"/>
                <w:szCs w:val="22"/>
              </w:rPr>
            </w:pPr>
            <w:r w:rsidRPr="004A28F1">
              <w:rPr>
                <w:rFonts w:ascii="Arial" w:hAnsi="Arial" w:cs="Arial"/>
                <w:b/>
                <w:sz w:val="22"/>
                <w:szCs w:val="22"/>
              </w:rPr>
              <w:lastRenderedPageBreak/>
              <w:t>Particulars</w:t>
            </w:r>
          </w:p>
        </w:tc>
        <w:tc>
          <w:tcPr>
            <w:tcW w:w="1717" w:type="dxa"/>
            <w:tcBorders>
              <w:top w:val="single" w:sz="4" w:space="0" w:color="auto"/>
              <w:bottom w:val="single" w:sz="4" w:space="0" w:color="auto"/>
            </w:tcBorders>
            <w:shd w:val="clear" w:color="auto" w:fill="auto"/>
            <w:vAlign w:val="center"/>
          </w:tcPr>
          <w:p w14:paraId="3D703030" w14:textId="77777777" w:rsidR="00F91301" w:rsidRPr="004A28F1" w:rsidRDefault="00F91301" w:rsidP="000031D6">
            <w:pPr>
              <w:tabs>
                <w:tab w:val="left" w:pos="720"/>
              </w:tabs>
              <w:spacing w:before="60" w:after="60"/>
              <w:jc w:val="center"/>
              <w:rPr>
                <w:rFonts w:ascii="Arial" w:hAnsi="Arial" w:cs="Arial"/>
                <w:b/>
                <w:sz w:val="22"/>
                <w:szCs w:val="22"/>
              </w:rPr>
            </w:pPr>
            <w:r w:rsidRPr="004A28F1">
              <w:rPr>
                <w:rFonts w:ascii="Arial" w:hAnsi="Arial" w:cs="Arial"/>
                <w:b/>
                <w:sz w:val="22"/>
                <w:szCs w:val="22"/>
              </w:rPr>
              <w:t>Amount</w:t>
            </w:r>
          </w:p>
        </w:tc>
        <w:tc>
          <w:tcPr>
            <w:tcW w:w="3230" w:type="dxa"/>
            <w:tcBorders>
              <w:top w:val="single" w:sz="4" w:space="0" w:color="auto"/>
              <w:bottom w:val="single" w:sz="4" w:space="0" w:color="auto"/>
            </w:tcBorders>
            <w:shd w:val="clear" w:color="auto" w:fill="auto"/>
            <w:vAlign w:val="center"/>
          </w:tcPr>
          <w:p w14:paraId="13F56ADF" w14:textId="77777777" w:rsidR="00F91301" w:rsidRPr="004A28F1" w:rsidRDefault="00F91301" w:rsidP="000031D6">
            <w:pPr>
              <w:tabs>
                <w:tab w:val="left" w:pos="720"/>
              </w:tabs>
              <w:spacing w:before="60" w:after="60"/>
              <w:ind w:left="72"/>
              <w:jc w:val="center"/>
              <w:rPr>
                <w:rFonts w:ascii="Arial" w:hAnsi="Arial" w:cs="Arial"/>
                <w:b/>
                <w:sz w:val="22"/>
                <w:szCs w:val="22"/>
              </w:rPr>
            </w:pPr>
            <w:r w:rsidRPr="004A28F1">
              <w:rPr>
                <w:rFonts w:ascii="Arial" w:hAnsi="Arial" w:cs="Arial"/>
                <w:b/>
                <w:sz w:val="22"/>
                <w:szCs w:val="22"/>
              </w:rPr>
              <w:t>Status</w:t>
            </w:r>
          </w:p>
        </w:tc>
      </w:tr>
      <w:tr w:rsidR="004A28F1" w:rsidRPr="004A28F1" w14:paraId="5F7BD7DE" w14:textId="77777777" w:rsidTr="000031D6">
        <w:trPr>
          <w:trHeight w:val="1133"/>
        </w:trPr>
        <w:tc>
          <w:tcPr>
            <w:tcW w:w="3690" w:type="dxa"/>
            <w:tcBorders>
              <w:top w:val="single" w:sz="4" w:space="0" w:color="auto"/>
            </w:tcBorders>
            <w:shd w:val="clear" w:color="auto" w:fill="auto"/>
          </w:tcPr>
          <w:p w14:paraId="44522C91" w14:textId="77777777" w:rsidR="00F91301" w:rsidRPr="004A28F1" w:rsidRDefault="00F91301" w:rsidP="00F91301">
            <w:pPr>
              <w:pStyle w:val="ListParagraph"/>
              <w:numPr>
                <w:ilvl w:val="0"/>
                <w:numId w:val="34"/>
              </w:numPr>
              <w:spacing w:before="60" w:after="60"/>
              <w:ind w:left="0" w:firstLine="18"/>
              <w:jc w:val="both"/>
              <w:rPr>
                <w:rFonts w:ascii="Arial" w:hAnsi="Arial" w:cs="Arial"/>
                <w:sz w:val="22"/>
                <w:szCs w:val="22"/>
              </w:rPr>
            </w:pPr>
            <w:r w:rsidRPr="004A28F1">
              <w:rPr>
                <w:rFonts w:ascii="Arial" w:hAnsi="Arial" w:cs="Arial"/>
                <w:sz w:val="22"/>
                <w:szCs w:val="22"/>
              </w:rPr>
              <w:t>Payment of per diems to former board members of the Bank for FY 2010 in violation of Memorandum Order No. 20 dated June 25, 2001 and Administrative Order No. 103 dated August 31, 2004</w:t>
            </w:r>
          </w:p>
        </w:tc>
        <w:tc>
          <w:tcPr>
            <w:tcW w:w="1717" w:type="dxa"/>
            <w:tcBorders>
              <w:top w:val="single" w:sz="4" w:space="0" w:color="auto"/>
            </w:tcBorders>
            <w:shd w:val="clear" w:color="auto" w:fill="auto"/>
          </w:tcPr>
          <w:p w14:paraId="1F847F95" w14:textId="77777777" w:rsidR="00F91301" w:rsidRPr="004A28F1" w:rsidRDefault="00F91301" w:rsidP="000031D6">
            <w:pPr>
              <w:tabs>
                <w:tab w:val="left" w:pos="720"/>
              </w:tabs>
              <w:spacing w:before="60" w:after="60"/>
              <w:jc w:val="right"/>
              <w:rPr>
                <w:rFonts w:ascii="Arial" w:hAnsi="Arial" w:cs="Arial"/>
                <w:sz w:val="22"/>
                <w:szCs w:val="22"/>
              </w:rPr>
            </w:pPr>
            <w:r w:rsidRPr="004A28F1">
              <w:rPr>
                <w:rFonts w:ascii="Arial" w:hAnsi="Arial" w:cs="Arial"/>
                <w:sz w:val="22"/>
                <w:szCs w:val="22"/>
              </w:rPr>
              <w:t>3,770,587.83</w:t>
            </w:r>
          </w:p>
        </w:tc>
        <w:tc>
          <w:tcPr>
            <w:tcW w:w="3230" w:type="dxa"/>
            <w:tcBorders>
              <w:top w:val="single" w:sz="4" w:space="0" w:color="auto"/>
            </w:tcBorders>
            <w:shd w:val="clear" w:color="auto" w:fill="auto"/>
          </w:tcPr>
          <w:p w14:paraId="391F46DA" w14:textId="77777777" w:rsidR="00F91301" w:rsidRPr="004A28F1" w:rsidRDefault="00F91301" w:rsidP="000031D6">
            <w:pPr>
              <w:tabs>
                <w:tab w:val="left" w:pos="720"/>
              </w:tabs>
              <w:spacing w:before="60" w:after="60"/>
              <w:jc w:val="both"/>
              <w:rPr>
                <w:rFonts w:ascii="Arial" w:hAnsi="Arial" w:cs="Arial"/>
                <w:sz w:val="22"/>
                <w:szCs w:val="22"/>
              </w:rPr>
            </w:pPr>
            <w:r w:rsidRPr="004A28F1">
              <w:rPr>
                <w:rFonts w:ascii="Arial" w:hAnsi="Arial" w:cs="Arial"/>
                <w:sz w:val="22"/>
                <w:szCs w:val="22"/>
              </w:rPr>
              <w:t xml:space="preserve">COA Order of Execution was issued to principal persons liable on June 17, 2014.  A supplemental Notice of Disallowance was issued on March 11, 2016 to former members of the Board of Directors pursuant to COA Decision No. 2016-01 dated January 22, 2016. </w:t>
            </w:r>
          </w:p>
          <w:p w14:paraId="7FEDFD39" w14:textId="77777777" w:rsidR="00F91301" w:rsidRPr="004A28F1" w:rsidRDefault="00F91301" w:rsidP="000031D6">
            <w:pPr>
              <w:tabs>
                <w:tab w:val="left" w:pos="720"/>
              </w:tabs>
              <w:spacing w:before="60" w:after="60"/>
              <w:jc w:val="both"/>
              <w:rPr>
                <w:rFonts w:ascii="Arial" w:hAnsi="Arial" w:cs="Arial"/>
                <w:sz w:val="22"/>
                <w:szCs w:val="22"/>
              </w:rPr>
            </w:pPr>
          </w:p>
          <w:p w14:paraId="6818605A" w14:textId="3D14B7B7" w:rsidR="00F91301" w:rsidRPr="004A28F1" w:rsidRDefault="00F91301" w:rsidP="000031D6">
            <w:pPr>
              <w:tabs>
                <w:tab w:val="left" w:pos="720"/>
              </w:tabs>
              <w:spacing w:before="60" w:after="60"/>
              <w:jc w:val="both"/>
              <w:rPr>
                <w:rFonts w:ascii="Arial" w:hAnsi="Arial" w:cs="Arial"/>
                <w:sz w:val="22"/>
                <w:szCs w:val="22"/>
              </w:rPr>
            </w:pPr>
            <w:r w:rsidRPr="004A28F1">
              <w:rPr>
                <w:rFonts w:ascii="Arial" w:hAnsi="Arial" w:cs="Arial"/>
                <w:sz w:val="22"/>
                <w:szCs w:val="22"/>
              </w:rPr>
              <w:t xml:space="preserve">A Notice of Finality of Decision No. 2019-190 dated May 21, 2019 was issued approving the </w:t>
            </w:r>
            <w:r w:rsidR="00FE31AD" w:rsidRPr="004A28F1">
              <w:rPr>
                <w:rFonts w:ascii="Arial" w:hAnsi="Arial" w:cs="Arial"/>
                <w:sz w:val="22"/>
                <w:szCs w:val="22"/>
              </w:rPr>
              <w:t xml:space="preserve">COA </w:t>
            </w:r>
            <w:r w:rsidRPr="004A28F1">
              <w:rPr>
                <w:rFonts w:ascii="Arial" w:hAnsi="Arial" w:cs="Arial"/>
                <w:sz w:val="22"/>
                <w:szCs w:val="22"/>
              </w:rPr>
              <w:t xml:space="preserve">Decision No. 2018-417 dated December 21, 2018 and COA CGS Cluster 1 Decision No. 2015-02 dated March 25, 2015 excluding Mr. Victor A. Tantoco as person liable under ND. Nos. 13-01(2010) to 13-05(2010).  </w:t>
            </w:r>
          </w:p>
          <w:p w14:paraId="0A354539" w14:textId="77777777" w:rsidR="00F91301" w:rsidRPr="004A28F1" w:rsidRDefault="00F91301" w:rsidP="000031D6">
            <w:pPr>
              <w:tabs>
                <w:tab w:val="left" w:pos="720"/>
              </w:tabs>
              <w:spacing w:before="60" w:after="60"/>
              <w:jc w:val="both"/>
              <w:rPr>
                <w:rFonts w:ascii="Arial" w:hAnsi="Arial" w:cs="Arial"/>
                <w:sz w:val="22"/>
                <w:szCs w:val="22"/>
              </w:rPr>
            </w:pPr>
          </w:p>
          <w:p w14:paraId="38AD5E18" w14:textId="34860C8B" w:rsidR="00F91301" w:rsidRPr="004A28F1" w:rsidRDefault="00F91301" w:rsidP="000031D6">
            <w:pPr>
              <w:tabs>
                <w:tab w:val="left" w:pos="720"/>
              </w:tabs>
              <w:spacing w:before="60" w:after="60"/>
              <w:jc w:val="both"/>
              <w:rPr>
                <w:rFonts w:ascii="Arial" w:hAnsi="Arial" w:cs="Arial"/>
                <w:sz w:val="22"/>
                <w:szCs w:val="22"/>
              </w:rPr>
            </w:pPr>
            <w:r w:rsidRPr="004A28F1">
              <w:rPr>
                <w:rFonts w:ascii="Arial" w:hAnsi="Arial" w:cs="Arial"/>
                <w:sz w:val="22"/>
                <w:szCs w:val="22"/>
              </w:rPr>
              <w:t xml:space="preserve">Also, Notice of Finality of </w:t>
            </w:r>
            <w:r w:rsidR="00FE31AD" w:rsidRPr="004A28F1">
              <w:rPr>
                <w:rFonts w:ascii="Arial" w:hAnsi="Arial" w:cs="Arial"/>
                <w:sz w:val="22"/>
                <w:szCs w:val="22"/>
              </w:rPr>
              <w:t xml:space="preserve">COA </w:t>
            </w:r>
            <w:r w:rsidRPr="004A28F1">
              <w:rPr>
                <w:rFonts w:ascii="Arial" w:hAnsi="Arial" w:cs="Arial"/>
                <w:sz w:val="22"/>
                <w:szCs w:val="22"/>
              </w:rPr>
              <w:t xml:space="preserve">Decision No. 2019-021 dated January 18, 2019 approving </w:t>
            </w:r>
            <w:r w:rsidR="00FE31AD" w:rsidRPr="004A28F1">
              <w:rPr>
                <w:rFonts w:ascii="Arial" w:hAnsi="Arial" w:cs="Arial"/>
                <w:sz w:val="22"/>
                <w:szCs w:val="22"/>
              </w:rPr>
              <w:t xml:space="preserve">COA </w:t>
            </w:r>
            <w:r w:rsidRPr="004A28F1">
              <w:rPr>
                <w:rFonts w:ascii="Arial" w:hAnsi="Arial" w:cs="Arial"/>
                <w:sz w:val="22"/>
                <w:szCs w:val="22"/>
              </w:rPr>
              <w:t>Decision No.  2017-314 dated September 22, 2017 and COA CGS Cluster 1 Decision No. 2014-07 dated October 13, 2014 excluding Ms. Alda R. Bañez as person liable under ND. Nos. 13-01(2010) to 13-05(2010), was issued.</w:t>
            </w:r>
          </w:p>
          <w:p w14:paraId="6DFF9602" w14:textId="77777777" w:rsidR="00F91301" w:rsidRPr="004A28F1" w:rsidRDefault="00F91301" w:rsidP="000031D6">
            <w:pPr>
              <w:tabs>
                <w:tab w:val="left" w:pos="720"/>
              </w:tabs>
              <w:spacing w:before="60" w:after="60"/>
              <w:jc w:val="both"/>
              <w:rPr>
                <w:rFonts w:ascii="Arial" w:hAnsi="Arial" w:cs="Arial"/>
                <w:sz w:val="22"/>
                <w:szCs w:val="22"/>
              </w:rPr>
            </w:pPr>
          </w:p>
          <w:p w14:paraId="012ABC06" w14:textId="77777777" w:rsidR="00F91301" w:rsidRPr="004A28F1" w:rsidRDefault="00F91301" w:rsidP="000031D6">
            <w:pPr>
              <w:tabs>
                <w:tab w:val="left" w:pos="720"/>
              </w:tabs>
              <w:spacing w:before="60" w:after="60"/>
              <w:jc w:val="both"/>
              <w:rPr>
                <w:rFonts w:ascii="Arial" w:hAnsi="Arial" w:cs="Arial"/>
                <w:sz w:val="22"/>
                <w:szCs w:val="22"/>
              </w:rPr>
            </w:pPr>
            <w:r w:rsidRPr="004A28F1">
              <w:rPr>
                <w:rFonts w:ascii="Arial" w:hAnsi="Arial" w:cs="Arial"/>
                <w:sz w:val="22"/>
                <w:szCs w:val="22"/>
              </w:rPr>
              <w:t>No collection received as at year end.</w:t>
            </w:r>
          </w:p>
        </w:tc>
      </w:tr>
      <w:tr w:rsidR="004A28F1" w:rsidRPr="004A28F1" w14:paraId="5B5BE23B" w14:textId="77777777" w:rsidTr="000031D6">
        <w:trPr>
          <w:trHeight w:val="100"/>
        </w:trPr>
        <w:tc>
          <w:tcPr>
            <w:tcW w:w="3690" w:type="dxa"/>
            <w:shd w:val="clear" w:color="auto" w:fill="auto"/>
          </w:tcPr>
          <w:p w14:paraId="076CBB58" w14:textId="77777777" w:rsidR="00F91301" w:rsidRPr="004A28F1" w:rsidRDefault="00F91301" w:rsidP="00F91301">
            <w:pPr>
              <w:pStyle w:val="ListParagraph"/>
              <w:numPr>
                <w:ilvl w:val="0"/>
                <w:numId w:val="34"/>
              </w:numPr>
              <w:ind w:left="0" w:firstLine="18"/>
              <w:jc w:val="both"/>
              <w:rPr>
                <w:rFonts w:ascii="Arial" w:hAnsi="Arial" w:cs="Arial"/>
                <w:sz w:val="22"/>
                <w:szCs w:val="22"/>
              </w:rPr>
            </w:pPr>
            <w:r w:rsidRPr="004A28F1">
              <w:rPr>
                <w:rFonts w:ascii="Arial" w:hAnsi="Arial" w:cs="Arial"/>
                <w:sz w:val="22"/>
                <w:szCs w:val="22"/>
              </w:rPr>
              <w:t>Payment of basic pay/salary, RATA and other benefits to paid to Officers who are 65 years of age or above under Officers’ Employment Contract exercising direct supervision and control over regular employee</w:t>
            </w:r>
            <w:r w:rsidR="00FE31AD" w:rsidRPr="004A28F1">
              <w:rPr>
                <w:rFonts w:ascii="Arial" w:hAnsi="Arial" w:cs="Arial"/>
                <w:sz w:val="22"/>
                <w:szCs w:val="22"/>
              </w:rPr>
              <w:t>’</w:t>
            </w:r>
            <w:r w:rsidRPr="004A28F1">
              <w:rPr>
                <w:rFonts w:ascii="Arial" w:hAnsi="Arial" w:cs="Arial"/>
                <w:sz w:val="22"/>
                <w:szCs w:val="22"/>
              </w:rPr>
              <w:t xml:space="preserve">s contrary to Bank’s policy and existing laws, rules and </w:t>
            </w:r>
            <w:r w:rsidRPr="004A28F1">
              <w:rPr>
                <w:rFonts w:ascii="Arial" w:hAnsi="Arial" w:cs="Arial"/>
                <w:sz w:val="22"/>
                <w:szCs w:val="22"/>
              </w:rPr>
              <w:lastRenderedPageBreak/>
              <w:t>regulations, particularly to Memorandum Circular No. 134 dated October 31, 1995</w:t>
            </w:r>
            <w:r w:rsidR="00FE31AD" w:rsidRPr="004A28F1">
              <w:rPr>
                <w:rFonts w:ascii="Arial" w:hAnsi="Arial" w:cs="Arial"/>
                <w:sz w:val="22"/>
                <w:szCs w:val="22"/>
              </w:rPr>
              <w:t>,</w:t>
            </w:r>
            <w:r w:rsidRPr="004A28F1">
              <w:rPr>
                <w:rFonts w:ascii="Arial" w:hAnsi="Arial" w:cs="Arial"/>
                <w:sz w:val="22"/>
                <w:szCs w:val="22"/>
              </w:rPr>
              <w:t xml:space="preserve"> issued by the Office of the President and COA Circular No. 2012-003 on Irregular Expenditures.</w:t>
            </w:r>
          </w:p>
          <w:p w14:paraId="2D154780" w14:textId="266B3C52" w:rsidR="00FE31AD" w:rsidRPr="004A28F1" w:rsidRDefault="00FE31AD" w:rsidP="00E2290C">
            <w:pPr>
              <w:pStyle w:val="ListParagraph"/>
              <w:ind w:left="18"/>
              <w:jc w:val="both"/>
              <w:rPr>
                <w:rFonts w:ascii="Arial" w:hAnsi="Arial" w:cs="Arial"/>
                <w:sz w:val="22"/>
                <w:szCs w:val="22"/>
              </w:rPr>
            </w:pPr>
          </w:p>
        </w:tc>
        <w:tc>
          <w:tcPr>
            <w:tcW w:w="1717" w:type="dxa"/>
            <w:shd w:val="clear" w:color="auto" w:fill="auto"/>
          </w:tcPr>
          <w:p w14:paraId="2464D55D" w14:textId="77777777" w:rsidR="00F91301" w:rsidRPr="004A28F1" w:rsidRDefault="00F91301" w:rsidP="000031D6">
            <w:pPr>
              <w:tabs>
                <w:tab w:val="left" w:pos="720"/>
              </w:tabs>
              <w:spacing w:before="60" w:after="60"/>
              <w:jc w:val="right"/>
              <w:rPr>
                <w:rFonts w:ascii="Arial" w:hAnsi="Arial" w:cs="Arial"/>
                <w:sz w:val="22"/>
                <w:szCs w:val="22"/>
              </w:rPr>
            </w:pPr>
            <w:r w:rsidRPr="004A28F1">
              <w:rPr>
                <w:rFonts w:ascii="Arial" w:hAnsi="Arial" w:cs="Arial"/>
                <w:sz w:val="22"/>
                <w:szCs w:val="22"/>
              </w:rPr>
              <w:lastRenderedPageBreak/>
              <w:t>13,608,309.47</w:t>
            </w:r>
          </w:p>
        </w:tc>
        <w:tc>
          <w:tcPr>
            <w:tcW w:w="3230" w:type="dxa"/>
            <w:shd w:val="clear" w:color="auto" w:fill="auto"/>
          </w:tcPr>
          <w:p w14:paraId="4B5A1EC9" w14:textId="77777777" w:rsidR="00F91301" w:rsidRPr="004A28F1" w:rsidRDefault="00F91301" w:rsidP="000031D6">
            <w:pPr>
              <w:tabs>
                <w:tab w:val="left" w:pos="720"/>
              </w:tabs>
              <w:spacing w:before="60" w:after="60"/>
              <w:ind w:left="72"/>
              <w:jc w:val="both"/>
              <w:rPr>
                <w:rFonts w:ascii="Arial" w:hAnsi="Arial" w:cs="Arial"/>
                <w:sz w:val="22"/>
                <w:szCs w:val="22"/>
              </w:rPr>
            </w:pPr>
            <w:r w:rsidRPr="004A28F1">
              <w:rPr>
                <w:rFonts w:ascii="Arial" w:hAnsi="Arial" w:cs="Arial"/>
                <w:sz w:val="22"/>
                <w:szCs w:val="22"/>
              </w:rPr>
              <w:t>With CGS Cluster 1 decision for automatic review by the Commission Proper.</w:t>
            </w:r>
          </w:p>
        </w:tc>
      </w:tr>
      <w:tr w:rsidR="004A28F1" w:rsidRPr="004A28F1" w14:paraId="40CB5FA7" w14:textId="77777777" w:rsidTr="000031D6">
        <w:trPr>
          <w:trHeight w:val="2520"/>
        </w:trPr>
        <w:tc>
          <w:tcPr>
            <w:tcW w:w="3690" w:type="dxa"/>
            <w:tcBorders>
              <w:bottom w:val="nil"/>
            </w:tcBorders>
            <w:shd w:val="clear" w:color="auto" w:fill="auto"/>
          </w:tcPr>
          <w:p w14:paraId="6F02C9C6" w14:textId="77777777" w:rsidR="00F91301" w:rsidRPr="004A28F1" w:rsidRDefault="00F91301" w:rsidP="00F91301">
            <w:pPr>
              <w:pStyle w:val="ListParagraph"/>
              <w:numPr>
                <w:ilvl w:val="0"/>
                <w:numId w:val="34"/>
              </w:numPr>
              <w:spacing w:before="60"/>
              <w:ind w:left="0" w:firstLine="18"/>
              <w:jc w:val="both"/>
              <w:rPr>
                <w:rFonts w:ascii="Arial" w:hAnsi="Arial" w:cs="Arial"/>
                <w:sz w:val="22"/>
                <w:szCs w:val="22"/>
              </w:rPr>
            </w:pPr>
            <w:r w:rsidRPr="004A28F1">
              <w:rPr>
                <w:rFonts w:ascii="Arial" w:hAnsi="Arial" w:cs="Arial"/>
                <w:sz w:val="22"/>
                <w:szCs w:val="22"/>
              </w:rPr>
              <w:t>Payment of Health Maintenance Program contrary to COA Circular No. 2012-003 dated October 29, 2012 and COA Resolution No. 2005-001 which prohibits the grant of health care allowance and securing of health care insurance from private insurance agencies, respectively.</w:t>
            </w:r>
          </w:p>
        </w:tc>
        <w:tc>
          <w:tcPr>
            <w:tcW w:w="1717" w:type="dxa"/>
            <w:tcBorders>
              <w:bottom w:val="nil"/>
            </w:tcBorders>
            <w:shd w:val="clear" w:color="auto" w:fill="auto"/>
          </w:tcPr>
          <w:p w14:paraId="590390B0" w14:textId="77777777" w:rsidR="00F91301" w:rsidRPr="004A28F1" w:rsidRDefault="00F91301" w:rsidP="000031D6">
            <w:pPr>
              <w:tabs>
                <w:tab w:val="left" w:pos="720"/>
              </w:tabs>
              <w:spacing w:before="60" w:after="60"/>
              <w:jc w:val="right"/>
              <w:rPr>
                <w:rFonts w:ascii="Arial" w:hAnsi="Arial" w:cs="Arial"/>
                <w:sz w:val="22"/>
                <w:szCs w:val="22"/>
              </w:rPr>
            </w:pPr>
            <w:r w:rsidRPr="004A28F1">
              <w:rPr>
                <w:rFonts w:ascii="Arial" w:hAnsi="Arial" w:cs="Arial"/>
                <w:sz w:val="22"/>
                <w:szCs w:val="22"/>
              </w:rPr>
              <w:t>8,150,784.50</w:t>
            </w:r>
          </w:p>
        </w:tc>
        <w:tc>
          <w:tcPr>
            <w:tcW w:w="3230" w:type="dxa"/>
            <w:tcBorders>
              <w:bottom w:val="nil"/>
            </w:tcBorders>
            <w:shd w:val="clear" w:color="auto" w:fill="auto"/>
          </w:tcPr>
          <w:p w14:paraId="6B86E358" w14:textId="77777777" w:rsidR="00F91301" w:rsidRPr="004A28F1" w:rsidRDefault="00F91301" w:rsidP="000031D6">
            <w:pPr>
              <w:tabs>
                <w:tab w:val="left" w:pos="720"/>
              </w:tabs>
              <w:spacing w:before="60" w:after="60"/>
              <w:ind w:left="72"/>
              <w:jc w:val="both"/>
              <w:rPr>
                <w:rFonts w:ascii="Arial" w:hAnsi="Arial" w:cs="Arial"/>
                <w:sz w:val="22"/>
                <w:szCs w:val="22"/>
              </w:rPr>
            </w:pPr>
            <w:r w:rsidRPr="004A28F1">
              <w:rPr>
                <w:rFonts w:ascii="Arial" w:hAnsi="Arial" w:cs="Arial"/>
                <w:sz w:val="22"/>
                <w:szCs w:val="22"/>
              </w:rPr>
              <w:t>With CGS Cluster 1 decision for automatic review by the Commission Proper.</w:t>
            </w:r>
          </w:p>
          <w:p w14:paraId="77FC9D9B" w14:textId="77777777" w:rsidR="00B842BD" w:rsidRPr="004A28F1" w:rsidRDefault="00B842BD" w:rsidP="000031D6">
            <w:pPr>
              <w:tabs>
                <w:tab w:val="left" w:pos="720"/>
              </w:tabs>
              <w:spacing w:before="60" w:after="60"/>
              <w:ind w:left="72"/>
              <w:jc w:val="both"/>
              <w:rPr>
                <w:rFonts w:ascii="Arial" w:hAnsi="Arial" w:cs="Arial"/>
                <w:sz w:val="22"/>
                <w:szCs w:val="22"/>
              </w:rPr>
            </w:pPr>
          </w:p>
          <w:p w14:paraId="78D28F2B" w14:textId="77777777" w:rsidR="00B842BD" w:rsidRPr="004A28F1" w:rsidRDefault="00B842BD" w:rsidP="000031D6">
            <w:pPr>
              <w:tabs>
                <w:tab w:val="left" w:pos="720"/>
              </w:tabs>
              <w:spacing w:before="60" w:after="60"/>
              <w:ind w:left="72"/>
              <w:jc w:val="both"/>
              <w:rPr>
                <w:rFonts w:ascii="Arial" w:hAnsi="Arial" w:cs="Arial"/>
                <w:sz w:val="22"/>
                <w:szCs w:val="22"/>
              </w:rPr>
            </w:pPr>
          </w:p>
        </w:tc>
      </w:tr>
      <w:tr w:rsidR="004A28F1" w:rsidRPr="004A28F1" w14:paraId="651117FA" w14:textId="77777777" w:rsidTr="000031D6">
        <w:trPr>
          <w:trHeight w:val="720"/>
        </w:trPr>
        <w:tc>
          <w:tcPr>
            <w:tcW w:w="3690" w:type="dxa"/>
            <w:tcBorders>
              <w:top w:val="nil"/>
              <w:bottom w:val="single" w:sz="4" w:space="0" w:color="auto"/>
            </w:tcBorders>
            <w:shd w:val="clear" w:color="auto" w:fill="auto"/>
          </w:tcPr>
          <w:p w14:paraId="55216D66" w14:textId="77777777" w:rsidR="00F91301" w:rsidRPr="004A28F1" w:rsidRDefault="00F91301" w:rsidP="00F91301">
            <w:pPr>
              <w:pStyle w:val="ListParagraph"/>
              <w:numPr>
                <w:ilvl w:val="0"/>
                <w:numId w:val="34"/>
              </w:numPr>
              <w:ind w:left="0" w:firstLine="18"/>
              <w:jc w:val="both"/>
              <w:rPr>
                <w:rFonts w:ascii="Arial" w:hAnsi="Arial" w:cs="Arial"/>
                <w:sz w:val="22"/>
                <w:szCs w:val="22"/>
              </w:rPr>
            </w:pPr>
            <w:r w:rsidRPr="004A28F1">
              <w:rPr>
                <w:rFonts w:ascii="Arial" w:hAnsi="Arial" w:cs="Arial"/>
                <w:sz w:val="22"/>
                <w:szCs w:val="22"/>
              </w:rPr>
              <w:t xml:space="preserve">Payment of Representation Allowance for the period covered January 2016 to February 2017 </w:t>
            </w:r>
          </w:p>
        </w:tc>
        <w:tc>
          <w:tcPr>
            <w:tcW w:w="1717" w:type="dxa"/>
            <w:tcBorders>
              <w:top w:val="nil"/>
              <w:bottom w:val="single" w:sz="4" w:space="0" w:color="auto"/>
            </w:tcBorders>
            <w:shd w:val="clear" w:color="auto" w:fill="auto"/>
          </w:tcPr>
          <w:p w14:paraId="7E6EB2D3" w14:textId="77777777" w:rsidR="00F91301" w:rsidRPr="004A28F1" w:rsidRDefault="00F91301" w:rsidP="000031D6">
            <w:pPr>
              <w:tabs>
                <w:tab w:val="left" w:pos="720"/>
              </w:tabs>
              <w:spacing w:before="60" w:after="60"/>
              <w:jc w:val="right"/>
              <w:rPr>
                <w:rFonts w:ascii="Arial" w:hAnsi="Arial" w:cs="Arial"/>
                <w:sz w:val="22"/>
                <w:szCs w:val="22"/>
              </w:rPr>
            </w:pPr>
            <w:r w:rsidRPr="004A28F1">
              <w:rPr>
                <w:rFonts w:ascii="Arial" w:hAnsi="Arial" w:cs="Arial"/>
                <w:sz w:val="22"/>
                <w:szCs w:val="22"/>
              </w:rPr>
              <w:t>1,260,000.00</w:t>
            </w:r>
          </w:p>
        </w:tc>
        <w:tc>
          <w:tcPr>
            <w:tcW w:w="3230" w:type="dxa"/>
            <w:tcBorders>
              <w:top w:val="nil"/>
              <w:bottom w:val="single" w:sz="4" w:space="0" w:color="auto"/>
            </w:tcBorders>
            <w:shd w:val="clear" w:color="auto" w:fill="auto"/>
          </w:tcPr>
          <w:p w14:paraId="77CF4182" w14:textId="77777777" w:rsidR="00F91301" w:rsidRPr="004A28F1" w:rsidRDefault="00F91301" w:rsidP="000031D6">
            <w:pPr>
              <w:tabs>
                <w:tab w:val="left" w:pos="720"/>
              </w:tabs>
              <w:spacing w:before="60"/>
              <w:ind w:left="72"/>
              <w:jc w:val="both"/>
              <w:rPr>
                <w:rFonts w:ascii="Arial" w:hAnsi="Arial" w:cs="Arial"/>
                <w:sz w:val="22"/>
                <w:szCs w:val="22"/>
              </w:rPr>
            </w:pPr>
            <w:r w:rsidRPr="004A28F1">
              <w:rPr>
                <w:rFonts w:ascii="Arial" w:hAnsi="Arial" w:cs="Arial"/>
                <w:sz w:val="22"/>
                <w:szCs w:val="22"/>
              </w:rPr>
              <w:t>CGS Cluster 1 issued Decision No. 2018-16 denying the appeal of Mr. Cesar N. Sarino. For issuance of Notice of Finality of Decision.</w:t>
            </w:r>
          </w:p>
        </w:tc>
      </w:tr>
      <w:tr w:rsidR="004A28F1" w:rsidRPr="004A28F1" w14:paraId="7464C67D" w14:textId="77777777" w:rsidTr="000031D6">
        <w:trPr>
          <w:trHeight w:val="145"/>
        </w:trPr>
        <w:tc>
          <w:tcPr>
            <w:tcW w:w="3690" w:type="dxa"/>
            <w:tcBorders>
              <w:top w:val="single" w:sz="4" w:space="0" w:color="auto"/>
              <w:bottom w:val="double" w:sz="4" w:space="0" w:color="auto"/>
            </w:tcBorders>
            <w:shd w:val="clear" w:color="auto" w:fill="auto"/>
          </w:tcPr>
          <w:p w14:paraId="5BD1C67B" w14:textId="77777777" w:rsidR="00F91301" w:rsidRPr="004A28F1" w:rsidRDefault="00F91301" w:rsidP="000031D6">
            <w:pPr>
              <w:pStyle w:val="ListParagraph"/>
              <w:spacing w:before="60" w:after="60"/>
              <w:ind w:left="18"/>
              <w:jc w:val="both"/>
              <w:rPr>
                <w:rFonts w:ascii="Arial" w:hAnsi="Arial" w:cs="Arial"/>
                <w:b/>
                <w:sz w:val="22"/>
                <w:szCs w:val="22"/>
              </w:rPr>
            </w:pPr>
            <w:r w:rsidRPr="004A28F1">
              <w:rPr>
                <w:rFonts w:ascii="Arial" w:hAnsi="Arial" w:cs="Arial"/>
                <w:b/>
                <w:sz w:val="22"/>
                <w:szCs w:val="22"/>
              </w:rPr>
              <w:t>Total</w:t>
            </w:r>
          </w:p>
        </w:tc>
        <w:tc>
          <w:tcPr>
            <w:tcW w:w="1717" w:type="dxa"/>
            <w:tcBorders>
              <w:top w:val="single" w:sz="4" w:space="0" w:color="auto"/>
              <w:bottom w:val="double" w:sz="4" w:space="0" w:color="auto"/>
            </w:tcBorders>
            <w:shd w:val="clear" w:color="auto" w:fill="auto"/>
          </w:tcPr>
          <w:p w14:paraId="19B855C5" w14:textId="77777777" w:rsidR="00F91301" w:rsidRPr="004A28F1" w:rsidRDefault="00F91301" w:rsidP="000031D6">
            <w:pPr>
              <w:tabs>
                <w:tab w:val="left" w:pos="720"/>
              </w:tabs>
              <w:spacing w:before="60" w:after="60"/>
              <w:jc w:val="right"/>
              <w:rPr>
                <w:rFonts w:ascii="Arial" w:hAnsi="Arial" w:cs="Arial"/>
                <w:b/>
                <w:sz w:val="22"/>
                <w:szCs w:val="22"/>
              </w:rPr>
            </w:pPr>
            <w:r w:rsidRPr="004A28F1">
              <w:rPr>
                <w:rFonts w:ascii="Arial" w:hAnsi="Arial" w:cs="Arial"/>
                <w:b/>
                <w:sz w:val="22"/>
                <w:szCs w:val="22"/>
              </w:rPr>
              <w:t>26,789,681.80</w:t>
            </w:r>
          </w:p>
        </w:tc>
        <w:tc>
          <w:tcPr>
            <w:tcW w:w="3230" w:type="dxa"/>
            <w:tcBorders>
              <w:top w:val="single" w:sz="4" w:space="0" w:color="auto"/>
              <w:bottom w:val="double" w:sz="4" w:space="0" w:color="auto"/>
            </w:tcBorders>
            <w:shd w:val="clear" w:color="auto" w:fill="auto"/>
          </w:tcPr>
          <w:p w14:paraId="4FBF2E6C" w14:textId="77777777" w:rsidR="00F91301" w:rsidRPr="004A28F1" w:rsidRDefault="00F91301" w:rsidP="000031D6">
            <w:pPr>
              <w:tabs>
                <w:tab w:val="left" w:pos="720"/>
              </w:tabs>
              <w:spacing w:before="60" w:after="60"/>
              <w:ind w:left="72"/>
              <w:jc w:val="both"/>
              <w:rPr>
                <w:rFonts w:ascii="Arial" w:hAnsi="Arial" w:cs="Arial"/>
                <w:sz w:val="22"/>
                <w:szCs w:val="22"/>
              </w:rPr>
            </w:pPr>
          </w:p>
        </w:tc>
      </w:tr>
    </w:tbl>
    <w:p w14:paraId="591FA0C5" w14:textId="77777777" w:rsidR="00F91301" w:rsidRPr="004A28F1" w:rsidRDefault="00F91301" w:rsidP="00F91301">
      <w:pPr>
        <w:tabs>
          <w:tab w:val="left" w:pos="720"/>
        </w:tabs>
        <w:jc w:val="both"/>
        <w:rPr>
          <w:rFonts w:ascii="Arial" w:hAnsi="Arial" w:cs="Arial"/>
          <w:sz w:val="22"/>
          <w:szCs w:val="22"/>
        </w:rPr>
      </w:pPr>
    </w:p>
    <w:p w14:paraId="264875B0" w14:textId="1893B44E" w:rsidR="00F91301" w:rsidRPr="004A28F1" w:rsidRDefault="00F91301" w:rsidP="00F91301">
      <w:pPr>
        <w:rPr>
          <w:rFonts w:ascii="Arial" w:hAnsi="Arial" w:cs="Arial"/>
          <w:sz w:val="20"/>
          <w:szCs w:val="22"/>
        </w:rPr>
      </w:pPr>
      <w:r w:rsidRPr="004A28F1">
        <w:rPr>
          <w:rFonts w:ascii="Arial" w:hAnsi="Arial" w:cs="Arial"/>
          <w:sz w:val="22"/>
          <w:szCs w:val="22"/>
        </w:rPr>
        <w:t>There are no balances of suspensions and charges as at December 31, 2022.</w:t>
      </w:r>
    </w:p>
    <w:p w14:paraId="5034AE5F" w14:textId="57C2B2DF" w:rsidR="00480C83" w:rsidRPr="004A28F1" w:rsidRDefault="00480C83" w:rsidP="0085093C">
      <w:pPr>
        <w:tabs>
          <w:tab w:val="left" w:pos="720"/>
        </w:tabs>
        <w:jc w:val="both"/>
        <w:rPr>
          <w:rFonts w:ascii="Arial" w:hAnsi="Arial" w:cs="Arial"/>
          <w:sz w:val="22"/>
          <w:szCs w:val="22"/>
        </w:rPr>
      </w:pPr>
    </w:p>
    <w:sectPr w:rsidR="00480C83" w:rsidRPr="004A28F1" w:rsidSect="00D4129E">
      <w:footerReference w:type="even" r:id="rId8"/>
      <w:footerReference w:type="default" r:id="rId9"/>
      <w:pgSz w:w="12240" w:h="15840" w:code="1"/>
      <w:pgMar w:top="1440" w:right="1440" w:bottom="1440" w:left="1440" w:header="720" w:footer="1008" w:gutter="72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9595B" w14:textId="77777777" w:rsidR="00BA21D1" w:rsidRDefault="00BA21D1">
      <w:r>
        <w:separator/>
      </w:r>
    </w:p>
  </w:endnote>
  <w:endnote w:type="continuationSeparator" w:id="0">
    <w:p w14:paraId="6C8840C2" w14:textId="77777777" w:rsidR="00BA21D1" w:rsidRDefault="00BA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98ED4" w14:textId="77777777" w:rsidR="000031D6" w:rsidRDefault="000031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D94B7C" w14:textId="77777777" w:rsidR="000031D6" w:rsidRDefault="000031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222804"/>
      <w:docPartObj>
        <w:docPartGallery w:val="Page Numbers (Bottom of Page)"/>
        <w:docPartUnique/>
      </w:docPartObj>
    </w:sdtPr>
    <w:sdtEndPr>
      <w:rPr>
        <w:noProof/>
        <w:sz w:val="20"/>
        <w:szCs w:val="20"/>
      </w:rPr>
    </w:sdtEndPr>
    <w:sdtContent>
      <w:p w14:paraId="3FAEDAA7" w14:textId="55BC871F" w:rsidR="000031D6" w:rsidRPr="004A28F1" w:rsidRDefault="000031D6">
        <w:pPr>
          <w:pStyle w:val="Footer"/>
          <w:jc w:val="right"/>
          <w:rPr>
            <w:sz w:val="20"/>
            <w:szCs w:val="20"/>
          </w:rPr>
        </w:pPr>
        <w:r w:rsidRPr="004A28F1">
          <w:rPr>
            <w:sz w:val="20"/>
            <w:szCs w:val="20"/>
          </w:rPr>
          <w:fldChar w:fldCharType="begin"/>
        </w:r>
        <w:r w:rsidRPr="004A28F1">
          <w:rPr>
            <w:sz w:val="20"/>
            <w:szCs w:val="20"/>
          </w:rPr>
          <w:instrText xml:space="preserve"> PAGE   \* MERGEFORMAT </w:instrText>
        </w:r>
        <w:r w:rsidRPr="004A28F1">
          <w:rPr>
            <w:sz w:val="20"/>
            <w:szCs w:val="20"/>
          </w:rPr>
          <w:fldChar w:fldCharType="separate"/>
        </w:r>
        <w:r w:rsidR="00D522A7">
          <w:rPr>
            <w:noProof/>
            <w:sz w:val="20"/>
            <w:szCs w:val="20"/>
          </w:rPr>
          <w:t>45</w:t>
        </w:r>
        <w:r w:rsidRPr="004A28F1">
          <w:rPr>
            <w:noProof/>
            <w:sz w:val="20"/>
            <w:szCs w:val="20"/>
          </w:rPr>
          <w:fldChar w:fldCharType="end"/>
        </w:r>
      </w:p>
    </w:sdtContent>
  </w:sdt>
  <w:p w14:paraId="2C846301" w14:textId="77777777" w:rsidR="000031D6" w:rsidRPr="00E04642" w:rsidRDefault="000031D6" w:rsidP="00205F2F">
    <w:pPr>
      <w:pStyle w:val="Footer"/>
      <w:tabs>
        <w:tab w:val="left" w:pos="5387"/>
      </w:tabs>
      <w:jc w:val="right"/>
      <w:rPr>
        <w:rFonts w:ascii="Arial" w:hAnsi="Arial" w:cs="Arial"/>
        <w:sz w:val="20"/>
        <w:szCs w:val="20"/>
        <w:lang w:val="en-P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D93A6" w14:textId="77777777" w:rsidR="00BA21D1" w:rsidRDefault="00BA21D1">
      <w:r>
        <w:separator/>
      </w:r>
    </w:p>
  </w:footnote>
  <w:footnote w:type="continuationSeparator" w:id="0">
    <w:p w14:paraId="24D975F0" w14:textId="77777777" w:rsidR="00BA21D1" w:rsidRDefault="00BA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828F900"/>
    <w:name w:val="WW8Num2"/>
    <w:lvl w:ilvl="0">
      <w:start w:val="1"/>
      <w:numFmt w:val="decimal"/>
      <w:lvlText w:val="%1.1"/>
      <w:lvlJc w:val="left"/>
      <w:pPr>
        <w:tabs>
          <w:tab w:val="num" w:pos="720"/>
        </w:tabs>
        <w:ind w:left="0" w:firstLine="0"/>
      </w:pPr>
      <w:rPr>
        <w:b w:val="0"/>
      </w:rPr>
    </w:lvl>
    <w:lvl w:ilvl="1">
      <w:start w:val="1"/>
      <w:numFmt w:val="decimal"/>
      <w:lvlText w:val="%2.1"/>
      <w:lvlJc w:val="left"/>
      <w:pPr>
        <w:tabs>
          <w:tab w:val="num" w:pos="720"/>
        </w:tabs>
        <w:ind w:left="0" w:firstLine="0"/>
      </w:pPr>
      <w:rPr>
        <w:b w:val="0"/>
      </w:rPr>
    </w:lvl>
    <w:lvl w:ilvl="2">
      <w:start w:val="1"/>
      <w:numFmt w:val="lowerLetter"/>
      <w:lvlText w:val="%3."/>
      <w:lvlJc w:val="left"/>
      <w:pPr>
        <w:tabs>
          <w:tab w:val="num" w:pos="1080"/>
        </w:tabs>
        <w:ind w:left="720" w:firstLine="0"/>
      </w:pPr>
      <w:rPr>
        <w:b/>
        <w:i w:val="0"/>
      </w:rPr>
    </w:lvl>
    <w:lvl w:ilvl="3">
      <w:start w:val="1"/>
      <w:numFmt w:val="decimal"/>
      <w:lvlText w:val="%3.%4."/>
      <w:lvlJc w:val="left"/>
      <w:pPr>
        <w:tabs>
          <w:tab w:val="num" w:pos="1728"/>
        </w:tabs>
        <w:ind w:left="1728" w:hanging="504"/>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multilevel"/>
    <w:tmpl w:val="CE1A3F60"/>
    <w:name w:val="WW8Num3"/>
    <w:lvl w:ilvl="0">
      <w:start w:val="1"/>
      <w:numFmt w:val="decimal"/>
      <w:lvlText w:val="%1"/>
      <w:lvlJc w:val="left"/>
      <w:pPr>
        <w:tabs>
          <w:tab w:val="num" w:pos="420"/>
        </w:tabs>
        <w:ind w:left="420" w:hanging="420"/>
      </w:pPr>
      <w:rPr>
        <w:rFonts w:ascii="Arial" w:eastAsia="Times New Roman" w:hAnsi="Arial" w:cs="Arial" w:hint="default"/>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11623C86"/>
    <w:name w:val="WW8Num4"/>
    <w:lvl w:ilvl="0">
      <w:start w:val="1"/>
      <w:numFmt w:val="lowerLetter"/>
      <w:lvlText w:val="%1."/>
      <w:lvlJc w:val="left"/>
      <w:pPr>
        <w:tabs>
          <w:tab w:val="num" w:pos="0"/>
        </w:tabs>
        <w:ind w:left="780" w:hanging="360"/>
      </w:pPr>
      <w:rPr>
        <w:b w:val="0"/>
      </w:rPr>
    </w:lvl>
    <w:lvl w:ilvl="1">
      <w:start w:val="1"/>
      <w:numFmt w:val="lowerLetter"/>
      <w:lvlText w:val="%2."/>
      <w:lvlJc w:val="left"/>
      <w:pPr>
        <w:tabs>
          <w:tab w:val="num" w:pos="0"/>
        </w:tabs>
        <w:ind w:left="1500" w:hanging="360"/>
      </w:pPr>
      <w:rPr>
        <w:b w:val="0"/>
      </w:rPr>
    </w:lvl>
    <w:lvl w:ilvl="2">
      <w:start w:val="1"/>
      <w:numFmt w:val="lowerRoman"/>
      <w:lvlText w:val="%3."/>
      <w:lvlJc w:val="lef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lef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left"/>
      <w:pPr>
        <w:tabs>
          <w:tab w:val="num" w:pos="0"/>
        </w:tabs>
        <w:ind w:left="6540" w:hanging="180"/>
      </w:pPr>
    </w:lvl>
  </w:abstractNum>
  <w:abstractNum w:abstractNumId="3" w15:restartNumberingAfterBreak="0">
    <w:nsid w:val="03F45920"/>
    <w:multiLevelType w:val="multilevel"/>
    <w:tmpl w:val="AD5EA26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B6D35"/>
    <w:multiLevelType w:val="multilevel"/>
    <w:tmpl w:val="AE6C128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B35D6"/>
    <w:multiLevelType w:val="multilevel"/>
    <w:tmpl w:val="149276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741104"/>
    <w:multiLevelType w:val="hybridMultilevel"/>
    <w:tmpl w:val="04DA835E"/>
    <w:lvl w:ilvl="0" w:tplc="61FC58EE">
      <w:start w:val="7"/>
      <w:numFmt w:val="decimal"/>
      <w:lvlText w:val="%1."/>
      <w:lvlJc w:val="left"/>
      <w:pPr>
        <w:ind w:left="360" w:hanging="360"/>
      </w:pPr>
      <w:rPr>
        <w:rFonts w:ascii="Arial,Bold" w:hAnsi="Arial,Bold" w:cs="Arial,Bold"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F2FE0"/>
    <w:multiLevelType w:val="hybridMultilevel"/>
    <w:tmpl w:val="2766C54C"/>
    <w:lvl w:ilvl="0" w:tplc="84DECCE0">
      <w:start w:val="1"/>
      <w:numFmt w:val="lowerLetter"/>
      <w:lvlText w:val="%1)"/>
      <w:lvlJc w:val="left"/>
      <w:pPr>
        <w:ind w:left="1080" w:hanging="360"/>
      </w:pPr>
      <w:rPr>
        <w:b w:val="0"/>
        <w:bCs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176956D9"/>
    <w:multiLevelType w:val="hybridMultilevel"/>
    <w:tmpl w:val="7DACCFE8"/>
    <w:lvl w:ilvl="0" w:tplc="5930059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992C21"/>
    <w:multiLevelType w:val="hybridMultilevel"/>
    <w:tmpl w:val="CD889A14"/>
    <w:name w:val="WW8Num332222"/>
    <w:lvl w:ilvl="0" w:tplc="82FA4B3E">
      <w:start w:val="1"/>
      <w:numFmt w:val="lowerLetter"/>
      <w:lvlText w:val="%1."/>
      <w:lvlJc w:val="left"/>
      <w:pPr>
        <w:ind w:left="1140" w:hanging="360"/>
      </w:pPr>
      <w:rPr>
        <w:rFonts w:ascii="Arial" w:hAnsi="Arial" w:cs="Arial" w:hint="default"/>
        <w:sz w:val="22"/>
        <w:szCs w:val="22"/>
      </w:rPr>
    </w:lvl>
    <w:lvl w:ilvl="1" w:tplc="563C98CA">
      <w:start w:val="1"/>
      <w:numFmt w:val="decimal"/>
      <w:lvlText w:val="%2."/>
      <w:lvlJc w:val="left"/>
      <w:pPr>
        <w:ind w:left="1860" w:hanging="360"/>
      </w:pPr>
      <w:rPr>
        <w:rFonts w:hint="default"/>
      </w:rPr>
    </w:lvl>
    <w:lvl w:ilvl="2" w:tplc="0409001B" w:tentative="1">
      <w:start w:val="1"/>
      <w:numFmt w:val="lowerRoman"/>
      <w:lvlText w:val="%3."/>
      <w:lvlJc w:val="right"/>
      <w:pPr>
        <w:ind w:left="2580" w:hanging="180"/>
      </w:pPr>
    </w:lvl>
    <w:lvl w:ilvl="3" w:tplc="0409000F">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19A44BDD"/>
    <w:multiLevelType w:val="hybridMultilevel"/>
    <w:tmpl w:val="34421C5E"/>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1" w15:restartNumberingAfterBreak="0">
    <w:nsid w:val="19AA4E6A"/>
    <w:multiLevelType w:val="hybridMultilevel"/>
    <w:tmpl w:val="EF8C7B5A"/>
    <w:lvl w:ilvl="0" w:tplc="34090017">
      <w:start w:val="1"/>
      <w:numFmt w:val="lowerLetter"/>
      <w:lvlText w:val="%1)"/>
      <w:lvlJc w:val="lef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2" w15:restartNumberingAfterBreak="0">
    <w:nsid w:val="1C080A20"/>
    <w:multiLevelType w:val="multilevel"/>
    <w:tmpl w:val="2806DA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F57D83"/>
    <w:multiLevelType w:val="multilevel"/>
    <w:tmpl w:val="3409001D"/>
    <w:styleLink w:val="Style3"/>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9D7477"/>
    <w:multiLevelType w:val="hybridMultilevel"/>
    <w:tmpl w:val="ED22BC96"/>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3B688F"/>
    <w:multiLevelType w:val="multilevel"/>
    <w:tmpl w:val="780A8182"/>
    <w:lvl w:ilvl="0">
      <w:start w:val="15"/>
      <w:numFmt w:val="decimal"/>
      <w:lvlText w:val="%1"/>
      <w:lvlJc w:val="left"/>
      <w:pPr>
        <w:ind w:left="420" w:hanging="420"/>
      </w:pPr>
      <w:rPr>
        <w:rFonts w:hint="default"/>
      </w:rPr>
    </w:lvl>
    <w:lvl w:ilvl="1">
      <w:start w:val="1"/>
      <w:numFmt w:val="decimal"/>
      <w:lvlText w:val="1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A13040"/>
    <w:multiLevelType w:val="multilevel"/>
    <w:tmpl w:val="BD061BDA"/>
    <w:lvl w:ilvl="0">
      <w:start w:val="1"/>
      <w:numFmt w:val="decimal"/>
      <w:lvlText w:val="%1."/>
      <w:lvlJc w:val="left"/>
      <w:pPr>
        <w:ind w:left="1080" w:hanging="360"/>
      </w:pPr>
    </w:lvl>
    <w:lvl w:ilvl="1">
      <w:start w:val="1"/>
      <w:numFmt w:val="decimal"/>
      <w:lvlText w:val="%1.%2."/>
      <w:lvlJc w:val="left"/>
      <w:pPr>
        <w:ind w:left="1512" w:hanging="432"/>
      </w:pPr>
      <w:rPr>
        <w:i w:val="0"/>
        <w:i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22A42EBD"/>
    <w:multiLevelType w:val="multilevel"/>
    <w:tmpl w:val="5582D54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5A0F7B"/>
    <w:multiLevelType w:val="multilevel"/>
    <w:tmpl w:val="99E42B38"/>
    <w:lvl w:ilvl="0">
      <w:start w:val="1"/>
      <w:numFmt w:val="decimal"/>
      <w:lvlText w:val="%1."/>
      <w:lvlJc w:val="left"/>
      <w:pPr>
        <w:ind w:left="2880" w:hanging="360"/>
      </w:pPr>
    </w:lvl>
    <w:lvl w:ilvl="1">
      <w:start w:val="8"/>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9" w15:restartNumberingAfterBreak="0">
    <w:nsid w:val="2A46763F"/>
    <w:multiLevelType w:val="multilevel"/>
    <w:tmpl w:val="2C8433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536D2E"/>
    <w:multiLevelType w:val="multilevel"/>
    <w:tmpl w:val="9872D11C"/>
    <w:styleLink w:val="Style1"/>
    <w:lvl w:ilvl="0">
      <w:start w:val="1"/>
      <w:numFmt w:val="decimal"/>
      <w:lvlText w:val="%1."/>
      <w:lvlJc w:val="left"/>
      <w:pPr>
        <w:ind w:left="0" w:firstLine="0"/>
      </w:pPr>
    </w:lvl>
    <w:lvl w:ilvl="1">
      <w:start w:val="1"/>
      <w:numFmt w:val="decimal"/>
      <w:lvlText w:val="%1.%2"/>
      <w:lvlJc w:val="left"/>
      <w:pPr>
        <w:ind w:left="0" w:firstLine="0"/>
      </w:pPr>
    </w:lvl>
    <w:lvl w:ilvl="2">
      <w:start w:val="1"/>
      <w:numFmt w:val="lowerLetter"/>
      <w:lvlText w:val="%3."/>
      <w:lvlJc w:val="left"/>
      <w:pPr>
        <w:ind w:left="720" w:firstLine="0"/>
      </w:pPr>
    </w:lvl>
    <w:lvl w:ilvl="3">
      <w:start w:val="1"/>
      <w:numFmt w:val="decimal"/>
      <w:lvlText w:val="%3.%4"/>
      <w:lvlJc w:val="left"/>
      <w:pPr>
        <w:ind w:left="720" w:firstLine="0"/>
      </w:pPr>
    </w:lvl>
    <w:lvl w:ilvl="4">
      <w:start w:val="1"/>
      <w:numFmt w:val="lowerRoman"/>
      <w:lvlText w:val="%5."/>
      <w:lvlJc w:val="left"/>
      <w:pPr>
        <w:ind w:left="1440" w:firstLine="0"/>
      </w:p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A972D6"/>
    <w:multiLevelType w:val="hybridMultilevel"/>
    <w:tmpl w:val="94C4BDDA"/>
    <w:name w:val="WW8Num4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C70423"/>
    <w:multiLevelType w:val="hybridMultilevel"/>
    <w:tmpl w:val="E4C893D2"/>
    <w:lvl w:ilvl="0" w:tplc="34090019">
      <w:start w:val="1"/>
      <w:numFmt w:val="lowerLetter"/>
      <w:lvlText w:val="%1."/>
      <w:lvlJc w:val="left"/>
      <w:pPr>
        <w:ind w:left="1236" w:hanging="360"/>
      </w:pPr>
    </w:lvl>
    <w:lvl w:ilvl="1" w:tplc="34090019">
      <w:start w:val="1"/>
      <w:numFmt w:val="lowerLetter"/>
      <w:lvlText w:val="%2."/>
      <w:lvlJc w:val="left"/>
      <w:pPr>
        <w:ind w:left="1956" w:hanging="360"/>
      </w:pPr>
    </w:lvl>
    <w:lvl w:ilvl="2" w:tplc="3409001B" w:tentative="1">
      <w:start w:val="1"/>
      <w:numFmt w:val="lowerRoman"/>
      <w:lvlText w:val="%3."/>
      <w:lvlJc w:val="right"/>
      <w:pPr>
        <w:ind w:left="2676" w:hanging="180"/>
      </w:pPr>
    </w:lvl>
    <w:lvl w:ilvl="3" w:tplc="3409000F" w:tentative="1">
      <w:start w:val="1"/>
      <w:numFmt w:val="decimal"/>
      <w:lvlText w:val="%4."/>
      <w:lvlJc w:val="left"/>
      <w:pPr>
        <w:ind w:left="3396" w:hanging="360"/>
      </w:pPr>
    </w:lvl>
    <w:lvl w:ilvl="4" w:tplc="34090019" w:tentative="1">
      <w:start w:val="1"/>
      <w:numFmt w:val="lowerLetter"/>
      <w:lvlText w:val="%5."/>
      <w:lvlJc w:val="left"/>
      <w:pPr>
        <w:ind w:left="4116" w:hanging="360"/>
      </w:pPr>
    </w:lvl>
    <w:lvl w:ilvl="5" w:tplc="3409001B" w:tentative="1">
      <w:start w:val="1"/>
      <w:numFmt w:val="lowerRoman"/>
      <w:lvlText w:val="%6."/>
      <w:lvlJc w:val="right"/>
      <w:pPr>
        <w:ind w:left="4836" w:hanging="180"/>
      </w:pPr>
    </w:lvl>
    <w:lvl w:ilvl="6" w:tplc="3409000F" w:tentative="1">
      <w:start w:val="1"/>
      <w:numFmt w:val="decimal"/>
      <w:lvlText w:val="%7."/>
      <w:lvlJc w:val="left"/>
      <w:pPr>
        <w:ind w:left="5556" w:hanging="360"/>
      </w:pPr>
    </w:lvl>
    <w:lvl w:ilvl="7" w:tplc="34090019" w:tentative="1">
      <w:start w:val="1"/>
      <w:numFmt w:val="lowerLetter"/>
      <w:lvlText w:val="%8."/>
      <w:lvlJc w:val="left"/>
      <w:pPr>
        <w:ind w:left="6276" w:hanging="360"/>
      </w:pPr>
    </w:lvl>
    <w:lvl w:ilvl="8" w:tplc="3409001B" w:tentative="1">
      <w:start w:val="1"/>
      <w:numFmt w:val="lowerRoman"/>
      <w:lvlText w:val="%9."/>
      <w:lvlJc w:val="right"/>
      <w:pPr>
        <w:ind w:left="6996" w:hanging="180"/>
      </w:pPr>
    </w:lvl>
  </w:abstractNum>
  <w:abstractNum w:abstractNumId="23" w15:restartNumberingAfterBreak="0">
    <w:nsid w:val="33EE64BD"/>
    <w:multiLevelType w:val="hybridMultilevel"/>
    <w:tmpl w:val="7E82D022"/>
    <w:lvl w:ilvl="0" w:tplc="6CD829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25324D"/>
    <w:multiLevelType w:val="multilevel"/>
    <w:tmpl w:val="D3CA76DC"/>
    <w:lvl w:ilvl="0">
      <w:start w:val="2"/>
      <w:numFmt w:val="decimal"/>
      <w:lvlText w:val="%1."/>
      <w:lvlJc w:val="left"/>
      <w:pPr>
        <w:ind w:left="0" w:firstLine="0"/>
      </w:pPr>
      <w:rPr>
        <w:rFonts w:hint="default"/>
        <w:b/>
      </w:rPr>
    </w:lvl>
    <w:lvl w:ilvl="1">
      <w:start w:val="1"/>
      <w:numFmt w:val="decimal"/>
      <w:lvlText w:val="%1.%2"/>
      <w:lvlJc w:val="left"/>
      <w:pPr>
        <w:ind w:left="0" w:firstLine="0"/>
      </w:pPr>
      <w:rPr>
        <w:rFonts w:hint="default"/>
        <w:b w:val="0"/>
        <w:i w:val="0"/>
        <w:sz w:val="22"/>
        <w:szCs w:val="22"/>
      </w:rPr>
    </w:lvl>
    <w:lvl w:ilvl="2">
      <w:start w:val="1"/>
      <w:numFmt w:val="lowerLetter"/>
      <w:lvlText w:val="%3."/>
      <w:lvlJc w:val="left"/>
      <w:pPr>
        <w:ind w:left="720" w:firstLine="0"/>
      </w:pPr>
      <w:rPr>
        <w:rFonts w:hint="default"/>
        <w:b w:val="0"/>
      </w:rPr>
    </w:lvl>
    <w:lvl w:ilvl="3">
      <w:start w:val="1"/>
      <w:numFmt w:val="decimal"/>
      <w:lvlText w:val="%3.%4"/>
      <w:lvlJc w:val="left"/>
      <w:pPr>
        <w:ind w:left="144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6AA4926"/>
    <w:multiLevelType w:val="singleLevel"/>
    <w:tmpl w:val="3409000F"/>
    <w:lvl w:ilvl="0">
      <w:start w:val="1"/>
      <w:numFmt w:val="decimal"/>
      <w:lvlText w:val="%1."/>
      <w:lvlJc w:val="left"/>
      <w:pPr>
        <w:ind w:left="360" w:hanging="360"/>
      </w:pPr>
      <w:rPr>
        <w:rFonts w:hint="default"/>
        <w:color w:val="auto"/>
      </w:rPr>
    </w:lvl>
  </w:abstractNum>
  <w:abstractNum w:abstractNumId="26" w15:restartNumberingAfterBreak="0">
    <w:nsid w:val="382C280F"/>
    <w:multiLevelType w:val="multilevel"/>
    <w:tmpl w:val="0AD62E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641976"/>
    <w:multiLevelType w:val="multilevel"/>
    <w:tmpl w:val="CE9A763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B10F52"/>
    <w:multiLevelType w:val="hybridMultilevel"/>
    <w:tmpl w:val="7190160E"/>
    <w:lvl w:ilvl="0" w:tplc="A028C516">
      <w:start w:val="1"/>
      <w:numFmt w:val="lowerLetter"/>
      <w:lvlText w:val="%1."/>
      <w:lvlJc w:val="left"/>
      <w:pPr>
        <w:ind w:left="1495" w:hanging="360"/>
      </w:pPr>
      <w:rPr>
        <w:b/>
        <w:bCs w:val="0"/>
      </w:rPr>
    </w:lvl>
    <w:lvl w:ilvl="1" w:tplc="34090019" w:tentative="1">
      <w:start w:val="1"/>
      <w:numFmt w:val="lowerLetter"/>
      <w:lvlText w:val="%2."/>
      <w:lvlJc w:val="left"/>
      <w:pPr>
        <w:ind w:left="2215" w:hanging="360"/>
      </w:pPr>
    </w:lvl>
    <w:lvl w:ilvl="2" w:tplc="3409001B" w:tentative="1">
      <w:start w:val="1"/>
      <w:numFmt w:val="lowerRoman"/>
      <w:lvlText w:val="%3."/>
      <w:lvlJc w:val="right"/>
      <w:pPr>
        <w:ind w:left="2935" w:hanging="180"/>
      </w:pPr>
    </w:lvl>
    <w:lvl w:ilvl="3" w:tplc="3409000F" w:tentative="1">
      <w:start w:val="1"/>
      <w:numFmt w:val="decimal"/>
      <w:lvlText w:val="%4."/>
      <w:lvlJc w:val="left"/>
      <w:pPr>
        <w:ind w:left="3655" w:hanging="360"/>
      </w:pPr>
    </w:lvl>
    <w:lvl w:ilvl="4" w:tplc="34090019" w:tentative="1">
      <w:start w:val="1"/>
      <w:numFmt w:val="lowerLetter"/>
      <w:lvlText w:val="%5."/>
      <w:lvlJc w:val="left"/>
      <w:pPr>
        <w:ind w:left="4375" w:hanging="360"/>
      </w:pPr>
    </w:lvl>
    <w:lvl w:ilvl="5" w:tplc="3409001B" w:tentative="1">
      <w:start w:val="1"/>
      <w:numFmt w:val="lowerRoman"/>
      <w:lvlText w:val="%6."/>
      <w:lvlJc w:val="right"/>
      <w:pPr>
        <w:ind w:left="5095" w:hanging="180"/>
      </w:pPr>
    </w:lvl>
    <w:lvl w:ilvl="6" w:tplc="3409000F" w:tentative="1">
      <w:start w:val="1"/>
      <w:numFmt w:val="decimal"/>
      <w:lvlText w:val="%7."/>
      <w:lvlJc w:val="left"/>
      <w:pPr>
        <w:ind w:left="5815" w:hanging="360"/>
      </w:pPr>
    </w:lvl>
    <w:lvl w:ilvl="7" w:tplc="34090019" w:tentative="1">
      <w:start w:val="1"/>
      <w:numFmt w:val="lowerLetter"/>
      <w:lvlText w:val="%8."/>
      <w:lvlJc w:val="left"/>
      <w:pPr>
        <w:ind w:left="6535" w:hanging="360"/>
      </w:pPr>
    </w:lvl>
    <w:lvl w:ilvl="8" w:tplc="3409001B" w:tentative="1">
      <w:start w:val="1"/>
      <w:numFmt w:val="lowerRoman"/>
      <w:lvlText w:val="%9."/>
      <w:lvlJc w:val="right"/>
      <w:pPr>
        <w:ind w:left="7255" w:hanging="180"/>
      </w:pPr>
    </w:lvl>
  </w:abstractNum>
  <w:abstractNum w:abstractNumId="29" w15:restartNumberingAfterBreak="0">
    <w:nsid w:val="41080D18"/>
    <w:multiLevelType w:val="hybridMultilevel"/>
    <w:tmpl w:val="E1D2B202"/>
    <w:lvl w:ilvl="0" w:tplc="B4F25480">
      <w:start w:val="1"/>
      <w:numFmt w:val="decimal"/>
      <w:lvlText w:val="%1."/>
      <w:lvlJc w:val="left"/>
      <w:pPr>
        <w:ind w:left="360" w:hanging="360"/>
      </w:pPr>
      <w:rPr>
        <w:rFonts w:ascii="Arial,Bold" w:hAnsi="Arial,Bold" w:cs="Arial,Bold" w:hint="default"/>
        <w:b w:val="0"/>
        <w:i w:val="0"/>
        <w:color w:val="auto"/>
      </w:rPr>
    </w:lvl>
    <w:lvl w:ilvl="1" w:tplc="2F80BE6E">
      <w:start w:val="1"/>
      <w:numFmt w:val="lowerLetter"/>
      <w:lvlText w:val="%2."/>
      <w:lvlJc w:val="left"/>
      <w:pPr>
        <w:ind w:left="1440" w:hanging="360"/>
      </w:pPr>
      <w:rPr>
        <w:rFonts w:hint="default"/>
        <w:color w:val="auto"/>
      </w:r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4D505CDC">
      <w:start w:val="2"/>
      <w:numFmt w:val="bullet"/>
      <w:lvlText w:val=""/>
      <w:lvlJc w:val="left"/>
      <w:pPr>
        <w:ind w:left="3600" w:hanging="360"/>
      </w:pPr>
      <w:rPr>
        <w:rFonts w:ascii="Symbol" w:eastAsia="Times New Roman" w:hAnsi="Symbol" w:cs="Arial" w:hint="default"/>
      </w:r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42672813"/>
    <w:multiLevelType w:val="hybridMultilevel"/>
    <w:tmpl w:val="52CCB840"/>
    <w:name w:val="WW8Num3322"/>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15:restartNumberingAfterBreak="0">
    <w:nsid w:val="464B769B"/>
    <w:multiLevelType w:val="hybridMultilevel"/>
    <w:tmpl w:val="BE0E9D70"/>
    <w:lvl w:ilvl="0" w:tplc="1F2673AA">
      <w:start w:val="1"/>
      <w:numFmt w:val="lowerRoman"/>
      <w:lvlText w:val="(%1)"/>
      <w:lvlJc w:val="left"/>
      <w:pPr>
        <w:ind w:left="1931" w:hanging="720"/>
      </w:pPr>
      <w:rPr>
        <w:rFonts w:hint="default"/>
      </w:rPr>
    </w:lvl>
    <w:lvl w:ilvl="1" w:tplc="34090019" w:tentative="1">
      <w:start w:val="1"/>
      <w:numFmt w:val="lowerLetter"/>
      <w:lvlText w:val="%2."/>
      <w:lvlJc w:val="left"/>
      <w:pPr>
        <w:ind w:left="2291" w:hanging="360"/>
      </w:pPr>
    </w:lvl>
    <w:lvl w:ilvl="2" w:tplc="3409001B" w:tentative="1">
      <w:start w:val="1"/>
      <w:numFmt w:val="lowerRoman"/>
      <w:lvlText w:val="%3."/>
      <w:lvlJc w:val="right"/>
      <w:pPr>
        <w:ind w:left="3011" w:hanging="180"/>
      </w:pPr>
    </w:lvl>
    <w:lvl w:ilvl="3" w:tplc="3409000F" w:tentative="1">
      <w:start w:val="1"/>
      <w:numFmt w:val="decimal"/>
      <w:lvlText w:val="%4."/>
      <w:lvlJc w:val="left"/>
      <w:pPr>
        <w:ind w:left="3731" w:hanging="360"/>
      </w:pPr>
    </w:lvl>
    <w:lvl w:ilvl="4" w:tplc="34090019" w:tentative="1">
      <w:start w:val="1"/>
      <w:numFmt w:val="lowerLetter"/>
      <w:lvlText w:val="%5."/>
      <w:lvlJc w:val="left"/>
      <w:pPr>
        <w:ind w:left="4451" w:hanging="360"/>
      </w:pPr>
    </w:lvl>
    <w:lvl w:ilvl="5" w:tplc="3409001B" w:tentative="1">
      <w:start w:val="1"/>
      <w:numFmt w:val="lowerRoman"/>
      <w:lvlText w:val="%6."/>
      <w:lvlJc w:val="right"/>
      <w:pPr>
        <w:ind w:left="5171" w:hanging="180"/>
      </w:pPr>
    </w:lvl>
    <w:lvl w:ilvl="6" w:tplc="3409000F" w:tentative="1">
      <w:start w:val="1"/>
      <w:numFmt w:val="decimal"/>
      <w:lvlText w:val="%7."/>
      <w:lvlJc w:val="left"/>
      <w:pPr>
        <w:ind w:left="5891" w:hanging="360"/>
      </w:pPr>
    </w:lvl>
    <w:lvl w:ilvl="7" w:tplc="34090019" w:tentative="1">
      <w:start w:val="1"/>
      <w:numFmt w:val="lowerLetter"/>
      <w:lvlText w:val="%8."/>
      <w:lvlJc w:val="left"/>
      <w:pPr>
        <w:ind w:left="6611" w:hanging="360"/>
      </w:pPr>
    </w:lvl>
    <w:lvl w:ilvl="8" w:tplc="3409001B" w:tentative="1">
      <w:start w:val="1"/>
      <w:numFmt w:val="lowerRoman"/>
      <w:lvlText w:val="%9."/>
      <w:lvlJc w:val="right"/>
      <w:pPr>
        <w:ind w:left="7331" w:hanging="180"/>
      </w:pPr>
    </w:lvl>
  </w:abstractNum>
  <w:abstractNum w:abstractNumId="32" w15:restartNumberingAfterBreak="0">
    <w:nsid w:val="47776147"/>
    <w:multiLevelType w:val="hybridMultilevel"/>
    <w:tmpl w:val="5DD298AC"/>
    <w:name w:val="WW8Num33"/>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15:restartNumberingAfterBreak="0">
    <w:nsid w:val="4D7718BB"/>
    <w:multiLevelType w:val="multilevel"/>
    <w:tmpl w:val="16BA20B4"/>
    <w:styleLink w:val="Styl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1D36441"/>
    <w:multiLevelType w:val="hybridMultilevel"/>
    <w:tmpl w:val="29C84764"/>
    <w:lvl w:ilvl="0" w:tplc="34090019">
      <w:start w:val="1"/>
      <w:numFmt w:val="lowerLetter"/>
      <w:lvlText w:val="%1."/>
      <w:lvlJc w:val="left"/>
      <w:pPr>
        <w:ind w:left="1512" w:hanging="360"/>
      </w:pPr>
    </w:lvl>
    <w:lvl w:ilvl="1" w:tplc="34090019" w:tentative="1">
      <w:start w:val="1"/>
      <w:numFmt w:val="lowerLetter"/>
      <w:lvlText w:val="%2."/>
      <w:lvlJc w:val="left"/>
      <w:pPr>
        <w:ind w:left="2232" w:hanging="360"/>
      </w:pPr>
    </w:lvl>
    <w:lvl w:ilvl="2" w:tplc="3409001B" w:tentative="1">
      <w:start w:val="1"/>
      <w:numFmt w:val="lowerRoman"/>
      <w:lvlText w:val="%3."/>
      <w:lvlJc w:val="right"/>
      <w:pPr>
        <w:ind w:left="2952" w:hanging="180"/>
      </w:pPr>
    </w:lvl>
    <w:lvl w:ilvl="3" w:tplc="3409000F" w:tentative="1">
      <w:start w:val="1"/>
      <w:numFmt w:val="decimal"/>
      <w:lvlText w:val="%4."/>
      <w:lvlJc w:val="left"/>
      <w:pPr>
        <w:ind w:left="3672" w:hanging="360"/>
      </w:pPr>
    </w:lvl>
    <w:lvl w:ilvl="4" w:tplc="34090019" w:tentative="1">
      <w:start w:val="1"/>
      <w:numFmt w:val="lowerLetter"/>
      <w:lvlText w:val="%5."/>
      <w:lvlJc w:val="left"/>
      <w:pPr>
        <w:ind w:left="4392" w:hanging="360"/>
      </w:pPr>
    </w:lvl>
    <w:lvl w:ilvl="5" w:tplc="3409001B" w:tentative="1">
      <w:start w:val="1"/>
      <w:numFmt w:val="lowerRoman"/>
      <w:lvlText w:val="%6."/>
      <w:lvlJc w:val="right"/>
      <w:pPr>
        <w:ind w:left="5112" w:hanging="180"/>
      </w:pPr>
    </w:lvl>
    <w:lvl w:ilvl="6" w:tplc="3409000F" w:tentative="1">
      <w:start w:val="1"/>
      <w:numFmt w:val="decimal"/>
      <w:lvlText w:val="%7."/>
      <w:lvlJc w:val="left"/>
      <w:pPr>
        <w:ind w:left="5832" w:hanging="360"/>
      </w:pPr>
    </w:lvl>
    <w:lvl w:ilvl="7" w:tplc="34090019" w:tentative="1">
      <w:start w:val="1"/>
      <w:numFmt w:val="lowerLetter"/>
      <w:lvlText w:val="%8."/>
      <w:lvlJc w:val="left"/>
      <w:pPr>
        <w:ind w:left="6552" w:hanging="360"/>
      </w:pPr>
    </w:lvl>
    <w:lvl w:ilvl="8" w:tplc="3409001B" w:tentative="1">
      <w:start w:val="1"/>
      <w:numFmt w:val="lowerRoman"/>
      <w:lvlText w:val="%9."/>
      <w:lvlJc w:val="right"/>
      <w:pPr>
        <w:ind w:left="7272" w:hanging="180"/>
      </w:pPr>
    </w:lvl>
  </w:abstractNum>
  <w:abstractNum w:abstractNumId="35" w15:restartNumberingAfterBreak="0">
    <w:nsid w:val="53B45F06"/>
    <w:multiLevelType w:val="multilevel"/>
    <w:tmpl w:val="FB5EEC08"/>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7023" w:hanging="360"/>
      </w:pPr>
      <w:rPr>
        <w:rFonts w:ascii="Arial" w:hAnsi="Arial" w:cs="Arial" w:hint="default"/>
        <w:b w:val="0"/>
        <w:i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4115CF8"/>
    <w:multiLevelType w:val="hybridMultilevel"/>
    <w:tmpl w:val="7DACCFE8"/>
    <w:lvl w:ilvl="0" w:tplc="5930059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396452"/>
    <w:multiLevelType w:val="multilevel"/>
    <w:tmpl w:val="F5880FA0"/>
    <w:name w:val="WW8Num42"/>
    <w:lvl w:ilvl="0">
      <w:start w:val="3"/>
      <w:numFmt w:val="lowerLetter"/>
      <w:lvlText w:val="%1."/>
      <w:lvlJc w:val="left"/>
      <w:pPr>
        <w:tabs>
          <w:tab w:val="num" w:pos="300"/>
        </w:tabs>
        <w:ind w:left="1080" w:hanging="360"/>
      </w:pPr>
      <w:rPr>
        <w:rFonts w:hint="default"/>
        <w:b/>
      </w:rPr>
    </w:lvl>
    <w:lvl w:ilvl="1">
      <w:start w:val="1"/>
      <w:numFmt w:val="lowerLetter"/>
      <w:lvlText w:val="%2."/>
      <w:lvlJc w:val="left"/>
      <w:pPr>
        <w:tabs>
          <w:tab w:val="num" w:pos="300"/>
        </w:tabs>
        <w:ind w:left="1800" w:hanging="360"/>
      </w:pPr>
      <w:rPr>
        <w:rFonts w:hint="default"/>
        <w:b w:val="0"/>
      </w:rPr>
    </w:lvl>
    <w:lvl w:ilvl="2">
      <w:start w:val="1"/>
      <w:numFmt w:val="lowerRoman"/>
      <w:lvlText w:val="%3."/>
      <w:lvlJc w:val="left"/>
      <w:pPr>
        <w:tabs>
          <w:tab w:val="num" w:pos="300"/>
        </w:tabs>
        <w:ind w:left="2520" w:hanging="180"/>
      </w:pPr>
      <w:rPr>
        <w:rFonts w:hint="default"/>
      </w:rPr>
    </w:lvl>
    <w:lvl w:ilvl="3">
      <w:start w:val="1"/>
      <w:numFmt w:val="decimal"/>
      <w:lvlText w:val="%4."/>
      <w:lvlJc w:val="left"/>
      <w:pPr>
        <w:tabs>
          <w:tab w:val="num" w:pos="300"/>
        </w:tabs>
        <w:ind w:left="3240" w:hanging="360"/>
      </w:pPr>
      <w:rPr>
        <w:rFonts w:hint="default"/>
      </w:rPr>
    </w:lvl>
    <w:lvl w:ilvl="4">
      <w:start w:val="1"/>
      <w:numFmt w:val="lowerLetter"/>
      <w:lvlText w:val="%5."/>
      <w:lvlJc w:val="left"/>
      <w:pPr>
        <w:tabs>
          <w:tab w:val="num" w:pos="300"/>
        </w:tabs>
        <w:ind w:left="3960" w:hanging="360"/>
      </w:pPr>
      <w:rPr>
        <w:rFonts w:hint="default"/>
      </w:rPr>
    </w:lvl>
    <w:lvl w:ilvl="5">
      <w:start w:val="1"/>
      <w:numFmt w:val="lowerRoman"/>
      <w:lvlText w:val="%6."/>
      <w:lvlJc w:val="left"/>
      <w:pPr>
        <w:tabs>
          <w:tab w:val="num" w:pos="300"/>
        </w:tabs>
        <w:ind w:left="4680" w:hanging="180"/>
      </w:pPr>
      <w:rPr>
        <w:rFonts w:hint="default"/>
      </w:rPr>
    </w:lvl>
    <w:lvl w:ilvl="6">
      <w:start w:val="1"/>
      <w:numFmt w:val="decimal"/>
      <w:lvlText w:val="%7."/>
      <w:lvlJc w:val="left"/>
      <w:pPr>
        <w:tabs>
          <w:tab w:val="num" w:pos="300"/>
        </w:tabs>
        <w:ind w:left="5400" w:hanging="360"/>
      </w:pPr>
      <w:rPr>
        <w:rFonts w:hint="default"/>
      </w:rPr>
    </w:lvl>
    <w:lvl w:ilvl="7">
      <w:start w:val="1"/>
      <w:numFmt w:val="lowerLetter"/>
      <w:lvlText w:val="%8."/>
      <w:lvlJc w:val="left"/>
      <w:pPr>
        <w:tabs>
          <w:tab w:val="num" w:pos="300"/>
        </w:tabs>
        <w:ind w:left="6120" w:hanging="360"/>
      </w:pPr>
      <w:rPr>
        <w:rFonts w:hint="default"/>
      </w:rPr>
    </w:lvl>
    <w:lvl w:ilvl="8">
      <w:start w:val="1"/>
      <w:numFmt w:val="lowerRoman"/>
      <w:lvlText w:val="%9."/>
      <w:lvlJc w:val="left"/>
      <w:pPr>
        <w:tabs>
          <w:tab w:val="num" w:pos="300"/>
        </w:tabs>
        <w:ind w:left="6840" w:hanging="180"/>
      </w:pPr>
      <w:rPr>
        <w:rFonts w:hint="default"/>
      </w:rPr>
    </w:lvl>
  </w:abstractNum>
  <w:abstractNum w:abstractNumId="38" w15:restartNumberingAfterBreak="0">
    <w:nsid w:val="5D4575B7"/>
    <w:multiLevelType w:val="hybridMultilevel"/>
    <w:tmpl w:val="94061114"/>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607F30F3"/>
    <w:multiLevelType w:val="hybridMultilevel"/>
    <w:tmpl w:val="7DACCFE8"/>
    <w:lvl w:ilvl="0" w:tplc="5930059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2372554"/>
    <w:multiLevelType w:val="multilevel"/>
    <w:tmpl w:val="C30E8A3E"/>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2E83CF3"/>
    <w:multiLevelType w:val="multilevel"/>
    <w:tmpl w:val="89809664"/>
    <w:styleLink w:val="Style2"/>
    <w:lvl w:ilvl="0">
      <w:start w:val="1"/>
      <w:numFmt w:val="decimal"/>
      <w:lvlText w:val="%1"/>
      <w:lvlJc w:val="left"/>
      <w:pPr>
        <w:ind w:left="360" w:hanging="360"/>
      </w:pPr>
      <w:rPr>
        <w:rFonts w:hint="default"/>
      </w:rPr>
    </w:lvl>
    <w:lvl w:ilvl="1">
      <w:start w:val="11"/>
      <w:numFmt w:val="decimal"/>
      <w:lvlText w:val="%1.1"/>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45C5E76"/>
    <w:multiLevelType w:val="hybridMultilevel"/>
    <w:tmpl w:val="3BEEA4D8"/>
    <w:name w:val="WW8Num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2B708E"/>
    <w:multiLevelType w:val="multilevel"/>
    <w:tmpl w:val="8A324B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D87A3B"/>
    <w:multiLevelType w:val="hybridMultilevel"/>
    <w:tmpl w:val="7CB84644"/>
    <w:lvl w:ilvl="0" w:tplc="34090015">
      <w:start w:val="1"/>
      <w:numFmt w:val="upperLetter"/>
      <w:lvlText w:val="%1."/>
      <w:lvlJc w:val="left"/>
      <w:pPr>
        <w:ind w:left="720" w:hanging="360"/>
      </w:pPr>
    </w:lvl>
    <w:lvl w:ilvl="1" w:tplc="35EADDBC">
      <w:start w:val="1"/>
      <w:numFmt w:val="low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69F643D9"/>
    <w:multiLevelType w:val="hybridMultilevel"/>
    <w:tmpl w:val="7DACCFE8"/>
    <w:lvl w:ilvl="0" w:tplc="5930059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B5D10A0"/>
    <w:multiLevelType w:val="multilevel"/>
    <w:tmpl w:val="84345678"/>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7" w15:restartNumberingAfterBreak="0">
    <w:nsid w:val="6CAB1B3F"/>
    <w:multiLevelType w:val="hybridMultilevel"/>
    <w:tmpl w:val="07721F54"/>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6FF13A83"/>
    <w:multiLevelType w:val="multilevel"/>
    <w:tmpl w:val="08E4895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A52542"/>
    <w:multiLevelType w:val="multilevel"/>
    <w:tmpl w:val="10D8A2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0"/>
  </w:num>
  <w:num w:numId="3">
    <w:abstractNumId w:val="24"/>
  </w:num>
  <w:num w:numId="4">
    <w:abstractNumId w:val="40"/>
  </w:num>
  <w:num w:numId="5">
    <w:abstractNumId w:val="15"/>
  </w:num>
  <w:num w:numId="6">
    <w:abstractNumId w:val="41"/>
  </w:num>
  <w:num w:numId="7">
    <w:abstractNumId w:val="13"/>
  </w:num>
  <w:num w:numId="8">
    <w:abstractNumId w:val="33"/>
  </w:num>
  <w:num w:numId="9">
    <w:abstractNumId w:val="35"/>
  </w:num>
  <w:num w:numId="10">
    <w:abstractNumId w:val="18"/>
  </w:num>
  <w:num w:numId="11">
    <w:abstractNumId w:val="11"/>
  </w:num>
  <w:num w:numId="12">
    <w:abstractNumId w:val="6"/>
  </w:num>
  <w:num w:numId="13">
    <w:abstractNumId w:val="46"/>
  </w:num>
  <w:num w:numId="14">
    <w:abstractNumId w:val="23"/>
  </w:num>
  <w:num w:numId="15">
    <w:abstractNumId w:val="4"/>
  </w:num>
  <w:num w:numId="16">
    <w:abstractNumId w:val="39"/>
  </w:num>
  <w:num w:numId="17">
    <w:abstractNumId w:val="29"/>
  </w:num>
  <w:num w:numId="18">
    <w:abstractNumId w:val="31"/>
  </w:num>
  <w:num w:numId="19">
    <w:abstractNumId w:val="36"/>
  </w:num>
  <w:num w:numId="20">
    <w:abstractNumId w:val="8"/>
  </w:num>
  <w:num w:numId="21">
    <w:abstractNumId w:val="45"/>
  </w:num>
  <w:num w:numId="22">
    <w:abstractNumId w:val="49"/>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4"/>
  </w:num>
  <w:num w:numId="26">
    <w:abstractNumId w:val="7"/>
  </w:num>
  <w:num w:numId="27">
    <w:abstractNumId w:val="17"/>
  </w:num>
  <w:num w:numId="28">
    <w:abstractNumId w:val="16"/>
  </w:num>
  <w:num w:numId="29">
    <w:abstractNumId w:val="27"/>
  </w:num>
  <w:num w:numId="30">
    <w:abstractNumId w:val="44"/>
  </w:num>
  <w:num w:numId="31">
    <w:abstractNumId w:val="34"/>
  </w:num>
  <w:num w:numId="32">
    <w:abstractNumId w:val="22"/>
  </w:num>
  <w:num w:numId="33">
    <w:abstractNumId w:val="28"/>
  </w:num>
  <w:num w:numId="34">
    <w:abstractNumId w:val="38"/>
  </w:num>
  <w:num w:numId="35">
    <w:abstractNumId w:val="5"/>
  </w:num>
  <w:num w:numId="36">
    <w:abstractNumId w:val="12"/>
  </w:num>
  <w:num w:numId="37">
    <w:abstractNumId w:val="26"/>
  </w:num>
  <w:num w:numId="38">
    <w:abstractNumId w:val="47"/>
  </w:num>
  <w:num w:numId="39">
    <w:abstractNumId w:val="19"/>
  </w:num>
  <w:num w:numId="40">
    <w:abstractNumId w:val="43"/>
  </w:num>
  <w:num w:numId="41">
    <w:abstractNumId w:val="3"/>
  </w:num>
  <w:num w:numId="42">
    <w:abstractNumId w:val="4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Hbj4taZ2J1NDrYuXgo+/zWwsJeI0auwVUYfbqlAFOs4QD9RFRGS+pC1PeQ8oFaaePiAm79SlWuuVaw00VCVpw==" w:salt="ERbm+3zHg45v4KvkPnbT6w=="/>
  <w:defaultTabStop w:val="720"/>
  <w:characterSpacingControl w:val="doNotCompress"/>
  <w:hdrShapeDefaults>
    <o:shapedefaults v:ext="edit" spidmax="2049" style="mso-position-horizontal:center;mso-position-horizontal-relative:margin;mso-position-vertical:center;mso-position-vertical-relative:margin" o:allowincell="f" fillcolor="silver" stroke="f">
      <v:fill color="silver" opacity=".5"/>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4AE"/>
    <w:rsid w:val="00000386"/>
    <w:rsid w:val="00000C23"/>
    <w:rsid w:val="000015D0"/>
    <w:rsid w:val="00001841"/>
    <w:rsid w:val="000018D9"/>
    <w:rsid w:val="00002305"/>
    <w:rsid w:val="000031D6"/>
    <w:rsid w:val="000037CD"/>
    <w:rsid w:val="00004213"/>
    <w:rsid w:val="00004ABF"/>
    <w:rsid w:val="00004B1A"/>
    <w:rsid w:val="0000502E"/>
    <w:rsid w:val="00005E7F"/>
    <w:rsid w:val="00006FE4"/>
    <w:rsid w:val="0000746D"/>
    <w:rsid w:val="00010079"/>
    <w:rsid w:val="0001063C"/>
    <w:rsid w:val="00011043"/>
    <w:rsid w:val="00011B63"/>
    <w:rsid w:val="000125D9"/>
    <w:rsid w:val="0001289D"/>
    <w:rsid w:val="000135A0"/>
    <w:rsid w:val="00013664"/>
    <w:rsid w:val="00013DEE"/>
    <w:rsid w:val="00015035"/>
    <w:rsid w:val="000152F4"/>
    <w:rsid w:val="00015771"/>
    <w:rsid w:val="000159C3"/>
    <w:rsid w:val="00015AB3"/>
    <w:rsid w:val="000169A6"/>
    <w:rsid w:val="00017B0A"/>
    <w:rsid w:val="00017CA9"/>
    <w:rsid w:val="00017EEF"/>
    <w:rsid w:val="000204F7"/>
    <w:rsid w:val="000208F4"/>
    <w:rsid w:val="00020AA1"/>
    <w:rsid w:val="00022095"/>
    <w:rsid w:val="00022ED2"/>
    <w:rsid w:val="000232F5"/>
    <w:rsid w:val="0002332E"/>
    <w:rsid w:val="00023668"/>
    <w:rsid w:val="00023B85"/>
    <w:rsid w:val="00023E87"/>
    <w:rsid w:val="000245ED"/>
    <w:rsid w:val="00024F45"/>
    <w:rsid w:val="000251D0"/>
    <w:rsid w:val="00026B88"/>
    <w:rsid w:val="000273DC"/>
    <w:rsid w:val="0002757C"/>
    <w:rsid w:val="0003024B"/>
    <w:rsid w:val="0003073D"/>
    <w:rsid w:val="00030922"/>
    <w:rsid w:val="00031337"/>
    <w:rsid w:val="00032275"/>
    <w:rsid w:val="000327C7"/>
    <w:rsid w:val="00033697"/>
    <w:rsid w:val="0003370C"/>
    <w:rsid w:val="00033BA5"/>
    <w:rsid w:val="00033D6E"/>
    <w:rsid w:val="00034466"/>
    <w:rsid w:val="00035011"/>
    <w:rsid w:val="000359B1"/>
    <w:rsid w:val="000401F3"/>
    <w:rsid w:val="0004027C"/>
    <w:rsid w:val="00040C4B"/>
    <w:rsid w:val="00040D56"/>
    <w:rsid w:val="00043976"/>
    <w:rsid w:val="000440B8"/>
    <w:rsid w:val="00044D6E"/>
    <w:rsid w:val="00046AD5"/>
    <w:rsid w:val="00046ADA"/>
    <w:rsid w:val="00046C0F"/>
    <w:rsid w:val="0004716E"/>
    <w:rsid w:val="0005092C"/>
    <w:rsid w:val="00050ED0"/>
    <w:rsid w:val="00051470"/>
    <w:rsid w:val="0005193C"/>
    <w:rsid w:val="00051ADB"/>
    <w:rsid w:val="0005201B"/>
    <w:rsid w:val="0005226A"/>
    <w:rsid w:val="0005291A"/>
    <w:rsid w:val="00052A1C"/>
    <w:rsid w:val="00052A75"/>
    <w:rsid w:val="00053FC8"/>
    <w:rsid w:val="000543A4"/>
    <w:rsid w:val="00055148"/>
    <w:rsid w:val="00056916"/>
    <w:rsid w:val="00056D55"/>
    <w:rsid w:val="0005766B"/>
    <w:rsid w:val="0006087A"/>
    <w:rsid w:val="00061EEF"/>
    <w:rsid w:val="000620A3"/>
    <w:rsid w:val="00062814"/>
    <w:rsid w:val="00062CEC"/>
    <w:rsid w:val="0006323D"/>
    <w:rsid w:val="0006326B"/>
    <w:rsid w:val="00063920"/>
    <w:rsid w:val="00063C00"/>
    <w:rsid w:val="00064607"/>
    <w:rsid w:val="000649B6"/>
    <w:rsid w:val="00065E5E"/>
    <w:rsid w:val="00066564"/>
    <w:rsid w:val="00066F85"/>
    <w:rsid w:val="00067AED"/>
    <w:rsid w:val="00071C60"/>
    <w:rsid w:val="00072480"/>
    <w:rsid w:val="000727B5"/>
    <w:rsid w:val="00072A81"/>
    <w:rsid w:val="00072CF1"/>
    <w:rsid w:val="0007418A"/>
    <w:rsid w:val="000743D3"/>
    <w:rsid w:val="00074774"/>
    <w:rsid w:val="00074788"/>
    <w:rsid w:val="00075226"/>
    <w:rsid w:val="00075389"/>
    <w:rsid w:val="00075EDE"/>
    <w:rsid w:val="00076590"/>
    <w:rsid w:val="00076727"/>
    <w:rsid w:val="00077154"/>
    <w:rsid w:val="000773F5"/>
    <w:rsid w:val="0007782C"/>
    <w:rsid w:val="00080BC6"/>
    <w:rsid w:val="000810EE"/>
    <w:rsid w:val="00081AA6"/>
    <w:rsid w:val="00081C8C"/>
    <w:rsid w:val="00082540"/>
    <w:rsid w:val="00083C88"/>
    <w:rsid w:val="00083D4B"/>
    <w:rsid w:val="00083D94"/>
    <w:rsid w:val="00085325"/>
    <w:rsid w:val="00085EC6"/>
    <w:rsid w:val="00085F17"/>
    <w:rsid w:val="00087295"/>
    <w:rsid w:val="00087494"/>
    <w:rsid w:val="000877E1"/>
    <w:rsid w:val="00090D61"/>
    <w:rsid w:val="0009144A"/>
    <w:rsid w:val="000916D7"/>
    <w:rsid w:val="00092B4A"/>
    <w:rsid w:val="00092FCE"/>
    <w:rsid w:val="00093195"/>
    <w:rsid w:val="00093E00"/>
    <w:rsid w:val="000948E5"/>
    <w:rsid w:val="00094D81"/>
    <w:rsid w:val="00094F6B"/>
    <w:rsid w:val="0009567A"/>
    <w:rsid w:val="00095CB6"/>
    <w:rsid w:val="000961E2"/>
    <w:rsid w:val="00096BF4"/>
    <w:rsid w:val="00096C71"/>
    <w:rsid w:val="00096D3C"/>
    <w:rsid w:val="00096FF1"/>
    <w:rsid w:val="000970A7"/>
    <w:rsid w:val="0009748B"/>
    <w:rsid w:val="000A01C8"/>
    <w:rsid w:val="000A07BC"/>
    <w:rsid w:val="000A1A39"/>
    <w:rsid w:val="000A1A91"/>
    <w:rsid w:val="000A211A"/>
    <w:rsid w:val="000A2305"/>
    <w:rsid w:val="000A2595"/>
    <w:rsid w:val="000A2C30"/>
    <w:rsid w:val="000A31D7"/>
    <w:rsid w:val="000A335C"/>
    <w:rsid w:val="000A3A78"/>
    <w:rsid w:val="000A41E4"/>
    <w:rsid w:val="000A45A4"/>
    <w:rsid w:val="000A5158"/>
    <w:rsid w:val="000A6276"/>
    <w:rsid w:val="000A743E"/>
    <w:rsid w:val="000A7E01"/>
    <w:rsid w:val="000B0B4A"/>
    <w:rsid w:val="000B11BA"/>
    <w:rsid w:val="000B1FC9"/>
    <w:rsid w:val="000B2D46"/>
    <w:rsid w:val="000B352E"/>
    <w:rsid w:val="000B38E5"/>
    <w:rsid w:val="000B3F80"/>
    <w:rsid w:val="000B45C8"/>
    <w:rsid w:val="000B46C1"/>
    <w:rsid w:val="000B4960"/>
    <w:rsid w:val="000B4F05"/>
    <w:rsid w:val="000B593B"/>
    <w:rsid w:val="000B5E63"/>
    <w:rsid w:val="000B68D8"/>
    <w:rsid w:val="000B6D00"/>
    <w:rsid w:val="000B7E38"/>
    <w:rsid w:val="000C1449"/>
    <w:rsid w:val="000C1484"/>
    <w:rsid w:val="000C23CE"/>
    <w:rsid w:val="000C2445"/>
    <w:rsid w:val="000C251F"/>
    <w:rsid w:val="000C2595"/>
    <w:rsid w:val="000C31F3"/>
    <w:rsid w:val="000C3239"/>
    <w:rsid w:val="000C3690"/>
    <w:rsid w:val="000C41DC"/>
    <w:rsid w:val="000C5F1E"/>
    <w:rsid w:val="000C7140"/>
    <w:rsid w:val="000C7EFB"/>
    <w:rsid w:val="000D0523"/>
    <w:rsid w:val="000D1909"/>
    <w:rsid w:val="000D1B85"/>
    <w:rsid w:val="000D2517"/>
    <w:rsid w:val="000D29EB"/>
    <w:rsid w:val="000D3161"/>
    <w:rsid w:val="000D4C38"/>
    <w:rsid w:val="000D4CBE"/>
    <w:rsid w:val="000D51B5"/>
    <w:rsid w:val="000D5921"/>
    <w:rsid w:val="000D6202"/>
    <w:rsid w:val="000D6394"/>
    <w:rsid w:val="000D6585"/>
    <w:rsid w:val="000D6923"/>
    <w:rsid w:val="000D7494"/>
    <w:rsid w:val="000D7A92"/>
    <w:rsid w:val="000D7D53"/>
    <w:rsid w:val="000E1329"/>
    <w:rsid w:val="000E18BD"/>
    <w:rsid w:val="000E1BAA"/>
    <w:rsid w:val="000E2071"/>
    <w:rsid w:val="000E56A1"/>
    <w:rsid w:val="000E7037"/>
    <w:rsid w:val="000E7327"/>
    <w:rsid w:val="000F06C9"/>
    <w:rsid w:val="000F0AD7"/>
    <w:rsid w:val="000F11CA"/>
    <w:rsid w:val="000F1869"/>
    <w:rsid w:val="000F2B1D"/>
    <w:rsid w:val="000F37E5"/>
    <w:rsid w:val="000F419B"/>
    <w:rsid w:val="000F4B1D"/>
    <w:rsid w:val="000F4BF0"/>
    <w:rsid w:val="000F719E"/>
    <w:rsid w:val="000F7A12"/>
    <w:rsid w:val="001014BA"/>
    <w:rsid w:val="0010184B"/>
    <w:rsid w:val="0010196D"/>
    <w:rsid w:val="00101C56"/>
    <w:rsid w:val="00102EED"/>
    <w:rsid w:val="0010301E"/>
    <w:rsid w:val="00103377"/>
    <w:rsid w:val="0010369F"/>
    <w:rsid w:val="00103C74"/>
    <w:rsid w:val="00104673"/>
    <w:rsid w:val="00106C80"/>
    <w:rsid w:val="00106C96"/>
    <w:rsid w:val="00107584"/>
    <w:rsid w:val="00107CCA"/>
    <w:rsid w:val="001103C8"/>
    <w:rsid w:val="0011089A"/>
    <w:rsid w:val="00110EA3"/>
    <w:rsid w:val="001117E1"/>
    <w:rsid w:val="00111C0E"/>
    <w:rsid w:val="001126B5"/>
    <w:rsid w:val="0011285C"/>
    <w:rsid w:val="00112E46"/>
    <w:rsid w:val="00113190"/>
    <w:rsid w:val="0011371E"/>
    <w:rsid w:val="0011412C"/>
    <w:rsid w:val="00114FA0"/>
    <w:rsid w:val="00116171"/>
    <w:rsid w:val="001162CC"/>
    <w:rsid w:val="001163F0"/>
    <w:rsid w:val="001166B2"/>
    <w:rsid w:val="001167E8"/>
    <w:rsid w:val="00117064"/>
    <w:rsid w:val="001170FF"/>
    <w:rsid w:val="0011765E"/>
    <w:rsid w:val="00117E50"/>
    <w:rsid w:val="00120BC7"/>
    <w:rsid w:val="00120E7A"/>
    <w:rsid w:val="00120F99"/>
    <w:rsid w:val="001211C9"/>
    <w:rsid w:val="00121C93"/>
    <w:rsid w:val="00121DF8"/>
    <w:rsid w:val="00122CE0"/>
    <w:rsid w:val="00123389"/>
    <w:rsid w:val="001235C9"/>
    <w:rsid w:val="001237DD"/>
    <w:rsid w:val="001248A8"/>
    <w:rsid w:val="00124B7A"/>
    <w:rsid w:val="00125365"/>
    <w:rsid w:val="0012556B"/>
    <w:rsid w:val="00125936"/>
    <w:rsid w:val="0012743A"/>
    <w:rsid w:val="0013080B"/>
    <w:rsid w:val="00130AA4"/>
    <w:rsid w:val="00130D23"/>
    <w:rsid w:val="0013117C"/>
    <w:rsid w:val="00131628"/>
    <w:rsid w:val="001317D7"/>
    <w:rsid w:val="00131904"/>
    <w:rsid w:val="00132D2A"/>
    <w:rsid w:val="00132F86"/>
    <w:rsid w:val="00133842"/>
    <w:rsid w:val="00133EDD"/>
    <w:rsid w:val="001346C9"/>
    <w:rsid w:val="00135BC7"/>
    <w:rsid w:val="00136055"/>
    <w:rsid w:val="00136700"/>
    <w:rsid w:val="00136BA1"/>
    <w:rsid w:val="00136CFB"/>
    <w:rsid w:val="00136E26"/>
    <w:rsid w:val="00137173"/>
    <w:rsid w:val="001412CE"/>
    <w:rsid w:val="001414A1"/>
    <w:rsid w:val="00141699"/>
    <w:rsid w:val="00141EA4"/>
    <w:rsid w:val="001424BA"/>
    <w:rsid w:val="001424DA"/>
    <w:rsid w:val="001430D1"/>
    <w:rsid w:val="001431AA"/>
    <w:rsid w:val="00143322"/>
    <w:rsid w:val="0014407A"/>
    <w:rsid w:val="001447D4"/>
    <w:rsid w:val="00145311"/>
    <w:rsid w:val="00145D4E"/>
    <w:rsid w:val="00147054"/>
    <w:rsid w:val="0014799E"/>
    <w:rsid w:val="00147A60"/>
    <w:rsid w:val="00147AB8"/>
    <w:rsid w:val="00150949"/>
    <w:rsid w:val="0015182D"/>
    <w:rsid w:val="00152C22"/>
    <w:rsid w:val="00153014"/>
    <w:rsid w:val="001537EE"/>
    <w:rsid w:val="001558A7"/>
    <w:rsid w:val="00155992"/>
    <w:rsid w:val="00155D57"/>
    <w:rsid w:val="00156C99"/>
    <w:rsid w:val="001573AC"/>
    <w:rsid w:val="00157597"/>
    <w:rsid w:val="00157BD7"/>
    <w:rsid w:val="0016047A"/>
    <w:rsid w:val="00160862"/>
    <w:rsid w:val="0016157E"/>
    <w:rsid w:val="00162400"/>
    <w:rsid w:val="00163042"/>
    <w:rsid w:val="00163066"/>
    <w:rsid w:val="00164328"/>
    <w:rsid w:val="001643B0"/>
    <w:rsid w:val="00164AD3"/>
    <w:rsid w:val="0016554F"/>
    <w:rsid w:val="00165B35"/>
    <w:rsid w:val="00166087"/>
    <w:rsid w:val="00166CF7"/>
    <w:rsid w:val="00166EE9"/>
    <w:rsid w:val="00167781"/>
    <w:rsid w:val="00167830"/>
    <w:rsid w:val="00167871"/>
    <w:rsid w:val="00167BBD"/>
    <w:rsid w:val="00167FB7"/>
    <w:rsid w:val="00170123"/>
    <w:rsid w:val="00170B7E"/>
    <w:rsid w:val="00170C33"/>
    <w:rsid w:val="0017132B"/>
    <w:rsid w:val="0017167B"/>
    <w:rsid w:val="00171BA0"/>
    <w:rsid w:val="001721AE"/>
    <w:rsid w:val="00172264"/>
    <w:rsid w:val="00172B48"/>
    <w:rsid w:val="00172F8B"/>
    <w:rsid w:val="00173F84"/>
    <w:rsid w:val="00174190"/>
    <w:rsid w:val="001751DE"/>
    <w:rsid w:val="001752AD"/>
    <w:rsid w:val="00175F0C"/>
    <w:rsid w:val="001761B7"/>
    <w:rsid w:val="00176D59"/>
    <w:rsid w:val="001772D5"/>
    <w:rsid w:val="00177777"/>
    <w:rsid w:val="00177FCC"/>
    <w:rsid w:val="001802DE"/>
    <w:rsid w:val="0018094D"/>
    <w:rsid w:val="00180BBA"/>
    <w:rsid w:val="00180F91"/>
    <w:rsid w:val="001811D0"/>
    <w:rsid w:val="001814BD"/>
    <w:rsid w:val="0018220B"/>
    <w:rsid w:val="00182A44"/>
    <w:rsid w:val="00182DAA"/>
    <w:rsid w:val="00183C19"/>
    <w:rsid w:val="00183F2F"/>
    <w:rsid w:val="00183F94"/>
    <w:rsid w:val="0018409E"/>
    <w:rsid w:val="00184BDD"/>
    <w:rsid w:val="001859F7"/>
    <w:rsid w:val="00185ADF"/>
    <w:rsid w:val="001866AE"/>
    <w:rsid w:val="00186E26"/>
    <w:rsid w:val="001870E1"/>
    <w:rsid w:val="00187461"/>
    <w:rsid w:val="0018780B"/>
    <w:rsid w:val="0018787A"/>
    <w:rsid w:val="0019091C"/>
    <w:rsid w:val="00190A13"/>
    <w:rsid w:val="00191B4A"/>
    <w:rsid w:val="00191CC1"/>
    <w:rsid w:val="00192A54"/>
    <w:rsid w:val="00192BB1"/>
    <w:rsid w:val="001936F5"/>
    <w:rsid w:val="00193DB9"/>
    <w:rsid w:val="00194518"/>
    <w:rsid w:val="00194672"/>
    <w:rsid w:val="00196429"/>
    <w:rsid w:val="0019645F"/>
    <w:rsid w:val="0019709C"/>
    <w:rsid w:val="00197A58"/>
    <w:rsid w:val="001A014A"/>
    <w:rsid w:val="001A0DA4"/>
    <w:rsid w:val="001A1740"/>
    <w:rsid w:val="001A17D8"/>
    <w:rsid w:val="001A2918"/>
    <w:rsid w:val="001A2EDB"/>
    <w:rsid w:val="001A3B74"/>
    <w:rsid w:val="001A3E34"/>
    <w:rsid w:val="001A4767"/>
    <w:rsid w:val="001A4769"/>
    <w:rsid w:val="001A6157"/>
    <w:rsid w:val="001A6BBA"/>
    <w:rsid w:val="001A6C3B"/>
    <w:rsid w:val="001A70F0"/>
    <w:rsid w:val="001A73F6"/>
    <w:rsid w:val="001A7828"/>
    <w:rsid w:val="001A7B8B"/>
    <w:rsid w:val="001B03FA"/>
    <w:rsid w:val="001B0788"/>
    <w:rsid w:val="001B098F"/>
    <w:rsid w:val="001B0BAB"/>
    <w:rsid w:val="001B2E95"/>
    <w:rsid w:val="001B38CB"/>
    <w:rsid w:val="001B44CB"/>
    <w:rsid w:val="001B5F3B"/>
    <w:rsid w:val="001B7337"/>
    <w:rsid w:val="001B783A"/>
    <w:rsid w:val="001C0710"/>
    <w:rsid w:val="001C150D"/>
    <w:rsid w:val="001C19B4"/>
    <w:rsid w:val="001C2453"/>
    <w:rsid w:val="001C2C11"/>
    <w:rsid w:val="001C2EDF"/>
    <w:rsid w:val="001C34CA"/>
    <w:rsid w:val="001C3DD8"/>
    <w:rsid w:val="001C418B"/>
    <w:rsid w:val="001C4196"/>
    <w:rsid w:val="001C427C"/>
    <w:rsid w:val="001C4902"/>
    <w:rsid w:val="001C4A19"/>
    <w:rsid w:val="001C56D2"/>
    <w:rsid w:val="001C5AF4"/>
    <w:rsid w:val="001C6B06"/>
    <w:rsid w:val="001C7564"/>
    <w:rsid w:val="001C7882"/>
    <w:rsid w:val="001C79CC"/>
    <w:rsid w:val="001C7BC0"/>
    <w:rsid w:val="001D015E"/>
    <w:rsid w:val="001D0BC4"/>
    <w:rsid w:val="001D16A1"/>
    <w:rsid w:val="001D2282"/>
    <w:rsid w:val="001D27B2"/>
    <w:rsid w:val="001D2947"/>
    <w:rsid w:val="001D2BD7"/>
    <w:rsid w:val="001D4086"/>
    <w:rsid w:val="001D5693"/>
    <w:rsid w:val="001D594F"/>
    <w:rsid w:val="001D5B08"/>
    <w:rsid w:val="001D6801"/>
    <w:rsid w:val="001D7343"/>
    <w:rsid w:val="001D7922"/>
    <w:rsid w:val="001E0422"/>
    <w:rsid w:val="001E20EC"/>
    <w:rsid w:val="001E21F4"/>
    <w:rsid w:val="001E231F"/>
    <w:rsid w:val="001E2846"/>
    <w:rsid w:val="001E2CD4"/>
    <w:rsid w:val="001E2FEC"/>
    <w:rsid w:val="001E34BF"/>
    <w:rsid w:val="001E3650"/>
    <w:rsid w:val="001E4167"/>
    <w:rsid w:val="001E52D2"/>
    <w:rsid w:val="001E64DE"/>
    <w:rsid w:val="001E6856"/>
    <w:rsid w:val="001E758E"/>
    <w:rsid w:val="001E7E71"/>
    <w:rsid w:val="001F106D"/>
    <w:rsid w:val="001F1D4D"/>
    <w:rsid w:val="001F3F13"/>
    <w:rsid w:val="001F4942"/>
    <w:rsid w:val="001F5249"/>
    <w:rsid w:val="001F5284"/>
    <w:rsid w:val="001F557D"/>
    <w:rsid w:val="001F5EA4"/>
    <w:rsid w:val="001F6129"/>
    <w:rsid w:val="001F625F"/>
    <w:rsid w:val="001F6746"/>
    <w:rsid w:val="001F6B57"/>
    <w:rsid w:val="001F6D40"/>
    <w:rsid w:val="001F769C"/>
    <w:rsid w:val="00200504"/>
    <w:rsid w:val="00200D3F"/>
    <w:rsid w:val="00200DED"/>
    <w:rsid w:val="00200E96"/>
    <w:rsid w:val="00201078"/>
    <w:rsid w:val="00201190"/>
    <w:rsid w:val="00201923"/>
    <w:rsid w:val="00201930"/>
    <w:rsid w:val="00201E31"/>
    <w:rsid w:val="00202117"/>
    <w:rsid w:val="002024A3"/>
    <w:rsid w:val="002024F3"/>
    <w:rsid w:val="00202683"/>
    <w:rsid w:val="00202F2D"/>
    <w:rsid w:val="00203519"/>
    <w:rsid w:val="002036FC"/>
    <w:rsid w:val="00203C64"/>
    <w:rsid w:val="002043FC"/>
    <w:rsid w:val="00204842"/>
    <w:rsid w:val="0020524D"/>
    <w:rsid w:val="0020573D"/>
    <w:rsid w:val="0020586C"/>
    <w:rsid w:val="00205F2F"/>
    <w:rsid w:val="00207412"/>
    <w:rsid w:val="00207D37"/>
    <w:rsid w:val="00210131"/>
    <w:rsid w:val="002110CF"/>
    <w:rsid w:val="002112B9"/>
    <w:rsid w:val="002120FB"/>
    <w:rsid w:val="00213306"/>
    <w:rsid w:val="00213893"/>
    <w:rsid w:val="0021399B"/>
    <w:rsid w:val="00213DDF"/>
    <w:rsid w:val="0021465E"/>
    <w:rsid w:val="00214E84"/>
    <w:rsid w:val="00214FD3"/>
    <w:rsid w:val="00216259"/>
    <w:rsid w:val="002166F5"/>
    <w:rsid w:val="00216E54"/>
    <w:rsid w:val="00216F64"/>
    <w:rsid w:val="00216F67"/>
    <w:rsid w:val="00220A0B"/>
    <w:rsid w:val="002213BD"/>
    <w:rsid w:val="00221471"/>
    <w:rsid w:val="00221964"/>
    <w:rsid w:val="00221D20"/>
    <w:rsid w:val="00222008"/>
    <w:rsid w:val="002224D4"/>
    <w:rsid w:val="00222A76"/>
    <w:rsid w:val="0022340A"/>
    <w:rsid w:val="00223C96"/>
    <w:rsid w:val="00224683"/>
    <w:rsid w:val="00224A9D"/>
    <w:rsid w:val="00224BFF"/>
    <w:rsid w:val="00224FF6"/>
    <w:rsid w:val="002250DF"/>
    <w:rsid w:val="0022575E"/>
    <w:rsid w:val="002259C5"/>
    <w:rsid w:val="00225EE7"/>
    <w:rsid w:val="00226937"/>
    <w:rsid w:val="00227142"/>
    <w:rsid w:val="00227204"/>
    <w:rsid w:val="00227DA3"/>
    <w:rsid w:val="00230C57"/>
    <w:rsid w:val="002311E0"/>
    <w:rsid w:val="00231268"/>
    <w:rsid w:val="00231291"/>
    <w:rsid w:val="0023136D"/>
    <w:rsid w:val="002314FB"/>
    <w:rsid w:val="002332AC"/>
    <w:rsid w:val="002333B3"/>
    <w:rsid w:val="0023343F"/>
    <w:rsid w:val="002338C1"/>
    <w:rsid w:val="0023458D"/>
    <w:rsid w:val="0023545A"/>
    <w:rsid w:val="0023574D"/>
    <w:rsid w:val="002357A8"/>
    <w:rsid w:val="0023586C"/>
    <w:rsid w:val="002365A3"/>
    <w:rsid w:val="002366B0"/>
    <w:rsid w:val="002372DF"/>
    <w:rsid w:val="002377E8"/>
    <w:rsid w:val="00237C1E"/>
    <w:rsid w:val="00237F66"/>
    <w:rsid w:val="002401E2"/>
    <w:rsid w:val="002404F8"/>
    <w:rsid w:val="002405C1"/>
    <w:rsid w:val="0024095E"/>
    <w:rsid w:val="00240E89"/>
    <w:rsid w:val="00240EBE"/>
    <w:rsid w:val="00240FB9"/>
    <w:rsid w:val="00241598"/>
    <w:rsid w:val="00241A6E"/>
    <w:rsid w:val="00242CF7"/>
    <w:rsid w:val="00244339"/>
    <w:rsid w:val="00244903"/>
    <w:rsid w:val="002449A7"/>
    <w:rsid w:val="0024529A"/>
    <w:rsid w:val="00245A55"/>
    <w:rsid w:val="00245B61"/>
    <w:rsid w:val="002464CD"/>
    <w:rsid w:val="0024655D"/>
    <w:rsid w:val="0024694E"/>
    <w:rsid w:val="00246CEA"/>
    <w:rsid w:val="00246D24"/>
    <w:rsid w:val="00246F09"/>
    <w:rsid w:val="002479FA"/>
    <w:rsid w:val="00247FDB"/>
    <w:rsid w:val="00250A04"/>
    <w:rsid w:val="00251572"/>
    <w:rsid w:val="0025284A"/>
    <w:rsid w:val="00252C8D"/>
    <w:rsid w:val="00253439"/>
    <w:rsid w:val="0025384C"/>
    <w:rsid w:val="00255018"/>
    <w:rsid w:val="00255165"/>
    <w:rsid w:val="00255442"/>
    <w:rsid w:val="002555C5"/>
    <w:rsid w:val="00255CA8"/>
    <w:rsid w:val="00255E48"/>
    <w:rsid w:val="00256143"/>
    <w:rsid w:val="00257784"/>
    <w:rsid w:val="00257876"/>
    <w:rsid w:val="00257BBC"/>
    <w:rsid w:val="0026029D"/>
    <w:rsid w:val="002629B7"/>
    <w:rsid w:val="00262E19"/>
    <w:rsid w:val="00262E98"/>
    <w:rsid w:val="00263018"/>
    <w:rsid w:val="00263620"/>
    <w:rsid w:val="0026426E"/>
    <w:rsid w:val="00264577"/>
    <w:rsid w:val="0026597A"/>
    <w:rsid w:val="00265FE6"/>
    <w:rsid w:val="00266685"/>
    <w:rsid w:val="00267368"/>
    <w:rsid w:val="002678CB"/>
    <w:rsid w:val="00267E7C"/>
    <w:rsid w:val="002704AC"/>
    <w:rsid w:val="0027097E"/>
    <w:rsid w:val="00271335"/>
    <w:rsid w:val="00271861"/>
    <w:rsid w:val="00272074"/>
    <w:rsid w:val="0027271F"/>
    <w:rsid w:val="002727E1"/>
    <w:rsid w:val="00273E0B"/>
    <w:rsid w:val="00275BCE"/>
    <w:rsid w:val="00275E25"/>
    <w:rsid w:val="0027619A"/>
    <w:rsid w:val="00276A47"/>
    <w:rsid w:val="00276FBE"/>
    <w:rsid w:val="002775B4"/>
    <w:rsid w:val="00277F70"/>
    <w:rsid w:val="0028002D"/>
    <w:rsid w:val="00280954"/>
    <w:rsid w:val="00280E6A"/>
    <w:rsid w:val="0028174D"/>
    <w:rsid w:val="002821F4"/>
    <w:rsid w:val="0028233D"/>
    <w:rsid w:val="002825D7"/>
    <w:rsid w:val="00282645"/>
    <w:rsid w:val="002828DD"/>
    <w:rsid w:val="00282DB5"/>
    <w:rsid w:val="00283906"/>
    <w:rsid w:val="00283AE6"/>
    <w:rsid w:val="00283B91"/>
    <w:rsid w:val="00283C50"/>
    <w:rsid w:val="00285D06"/>
    <w:rsid w:val="00285EFE"/>
    <w:rsid w:val="002866B4"/>
    <w:rsid w:val="002867CA"/>
    <w:rsid w:val="00286A3A"/>
    <w:rsid w:val="00286B2C"/>
    <w:rsid w:val="00286B37"/>
    <w:rsid w:val="00286C11"/>
    <w:rsid w:val="00286C6F"/>
    <w:rsid w:val="00286DC7"/>
    <w:rsid w:val="002878EA"/>
    <w:rsid w:val="0028795A"/>
    <w:rsid w:val="00290065"/>
    <w:rsid w:val="00290386"/>
    <w:rsid w:val="00290D61"/>
    <w:rsid w:val="002911FA"/>
    <w:rsid w:val="00291375"/>
    <w:rsid w:val="002913D1"/>
    <w:rsid w:val="0029278B"/>
    <w:rsid w:val="0029389B"/>
    <w:rsid w:val="00295AA6"/>
    <w:rsid w:val="0029693B"/>
    <w:rsid w:val="00296F72"/>
    <w:rsid w:val="00297063"/>
    <w:rsid w:val="002A0430"/>
    <w:rsid w:val="002A0974"/>
    <w:rsid w:val="002A0E4C"/>
    <w:rsid w:val="002A0F93"/>
    <w:rsid w:val="002A1090"/>
    <w:rsid w:val="002A111D"/>
    <w:rsid w:val="002A16E4"/>
    <w:rsid w:val="002A1DBE"/>
    <w:rsid w:val="002A1E74"/>
    <w:rsid w:val="002A24E7"/>
    <w:rsid w:val="002A2559"/>
    <w:rsid w:val="002A28A3"/>
    <w:rsid w:val="002A2C97"/>
    <w:rsid w:val="002A2D23"/>
    <w:rsid w:val="002A3246"/>
    <w:rsid w:val="002A3EB4"/>
    <w:rsid w:val="002A4711"/>
    <w:rsid w:val="002A5731"/>
    <w:rsid w:val="002A5E1D"/>
    <w:rsid w:val="002A6A16"/>
    <w:rsid w:val="002A6E4F"/>
    <w:rsid w:val="002A74CD"/>
    <w:rsid w:val="002B1914"/>
    <w:rsid w:val="002B1C18"/>
    <w:rsid w:val="002B1E23"/>
    <w:rsid w:val="002B29C8"/>
    <w:rsid w:val="002B3462"/>
    <w:rsid w:val="002B36E5"/>
    <w:rsid w:val="002B3BA1"/>
    <w:rsid w:val="002B3BC6"/>
    <w:rsid w:val="002B45D5"/>
    <w:rsid w:val="002B4A72"/>
    <w:rsid w:val="002B5772"/>
    <w:rsid w:val="002B5EF9"/>
    <w:rsid w:val="002B6121"/>
    <w:rsid w:val="002B667C"/>
    <w:rsid w:val="002B6C5D"/>
    <w:rsid w:val="002B7EB1"/>
    <w:rsid w:val="002C01D2"/>
    <w:rsid w:val="002C04C7"/>
    <w:rsid w:val="002C0ABB"/>
    <w:rsid w:val="002C0C0C"/>
    <w:rsid w:val="002C0C0E"/>
    <w:rsid w:val="002C0FE8"/>
    <w:rsid w:val="002C16D3"/>
    <w:rsid w:val="002C1E9F"/>
    <w:rsid w:val="002C2805"/>
    <w:rsid w:val="002C29DA"/>
    <w:rsid w:val="002C33C3"/>
    <w:rsid w:val="002C4232"/>
    <w:rsid w:val="002C5B60"/>
    <w:rsid w:val="002C6DEE"/>
    <w:rsid w:val="002C709D"/>
    <w:rsid w:val="002C7B9D"/>
    <w:rsid w:val="002D06FC"/>
    <w:rsid w:val="002D071B"/>
    <w:rsid w:val="002D13E2"/>
    <w:rsid w:val="002D1568"/>
    <w:rsid w:val="002D1ECD"/>
    <w:rsid w:val="002D200A"/>
    <w:rsid w:val="002D2208"/>
    <w:rsid w:val="002D2247"/>
    <w:rsid w:val="002D26E0"/>
    <w:rsid w:val="002D297C"/>
    <w:rsid w:val="002D4348"/>
    <w:rsid w:val="002D4460"/>
    <w:rsid w:val="002D4757"/>
    <w:rsid w:val="002D4C8A"/>
    <w:rsid w:val="002D4CFD"/>
    <w:rsid w:val="002D50DD"/>
    <w:rsid w:val="002D546D"/>
    <w:rsid w:val="002D71FD"/>
    <w:rsid w:val="002E006E"/>
    <w:rsid w:val="002E0271"/>
    <w:rsid w:val="002E0578"/>
    <w:rsid w:val="002E077D"/>
    <w:rsid w:val="002E0AB4"/>
    <w:rsid w:val="002E0B21"/>
    <w:rsid w:val="002E188D"/>
    <w:rsid w:val="002E18C7"/>
    <w:rsid w:val="002E245B"/>
    <w:rsid w:val="002E25DA"/>
    <w:rsid w:val="002E2A83"/>
    <w:rsid w:val="002E31F6"/>
    <w:rsid w:val="002E3325"/>
    <w:rsid w:val="002E3511"/>
    <w:rsid w:val="002E399B"/>
    <w:rsid w:val="002E3C61"/>
    <w:rsid w:val="002E4876"/>
    <w:rsid w:val="002E570F"/>
    <w:rsid w:val="002E626A"/>
    <w:rsid w:val="002E7430"/>
    <w:rsid w:val="002F09B8"/>
    <w:rsid w:val="002F107E"/>
    <w:rsid w:val="002F13BC"/>
    <w:rsid w:val="002F140E"/>
    <w:rsid w:val="002F1545"/>
    <w:rsid w:val="002F16AA"/>
    <w:rsid w:val="002F1ECA"/>
    <w:rsid w:val="002F1F37"/>
    <w:rsid w:val="002F3095"/>
    <w:rsid w:val="002F40B0"/>
    <w:rsid w:val="002F4463"/>
    <w:rsid w:val="002F5328"/>
    <w:rsid w:val="002F5871"/>
    <w:rsid w:val="002F5C26"/>
    <w:rsid w:val="002F5E45"/>
    <w:rsid w:val="0030054C"/>
    <w:rsid w:val="00300E6F"/>
    <w:rsid w:val="00302DC4"/>
    <w:rsid w:val="00302ED2"/>
    <w:rsid w:val="00303CFB"/>
    <w:rsid w:val="003043F1"/>
    <w:rsid w:val="00304900"/>
    <w:rsid w:val="00304B60"/>
    <w:rsid w:val="00304D30"/>
    <w:rsid w:val="00304D8F"/>
    <w:rsid w:val="00304E1A"/>
    <w:rsid w:val="00305FA1"/>
    <w:rsid w:val="00306580"/>
    <w:rsid w:val="003066C4"/>
    <w:rsid w:val="00307126"/>
    <w:rsid w:val="003076ED"/>
    <w:rsid w:val="0030778F"/>
    <w:rsid w:val="003078B8"/>
    <w:rsid w:val="00307B09"/>
    <w:rsid w:val="00307E72"/>
    <w:rsid w:val="00307F71"/>
    <w:rsid w:val="00310DDE"/>
    <w:rsid w:val="0031141D"/>
    <w:rsid w:val="00311AA4"/>
    <w:rsid w:val="00312289"/>
    <w:rsid w:val="0031394C"/>
    <w:rsid w:val="003140E8"/>
    <w:rsid w:val="00314178"/>
    <w:rsid w:val="003143CF"/>
    <w:rsid w:val="0031591C"/>
    <w:rsid w:val="0031603E"/>
    <w:rsid w:val="0031664E"/>
    <w:rsid w:val="003168E4"/>
    <w:rsid w:val="00316E22"/>
    <w:rsid w:val="00316ED3"/>
    <w:rsid w:val="00317215"/>
    <w:rsid w:val="00317321"/>
    <w:rsid w:val="00317FEF"/>
    <w:rsid w:val="00320EB4"/>
    <w:rsid w:val="00321548"/>
    <w:rsid w:val="0032185D"/>
    <w:rsid w:val="00321ACF"/>
    <w:rsid w:val="00321C33"/>
    <w:rsid w:val="003221C6"/>
    <w:rsid w:val="003228C5"/>
    <w:rsid w:val="0032297D"/>
    <w:rsid w:val="00323054"/>
    <w:rsid w:val="00323055"/>
    <w:rsid w:val="003232BF"/>
    <w:rsid w:val="003236CD"/>
    <w:rsid w:val="00323737"/>
    <w:rsid w:val="0032375E"/>
    <w:rsid w:val="00323B8C"/>
    <w:rsid w:val="00323CDE"/>
    <w:rsid w:val="00324127"/>
    <w:rsid w:val="00325CAA"/>
    <w:rsid w:val="00326905"/>
    <w:rsid w:val="00326E95"/>
    <w:rsid w:val="00326FCE"/>
    <w:rsid w:val="003270F2"/>
    <w:rsid w:val="00327848"/>
    <w:rsid w:val="00330DE1"/>
    <w:rsid w:val="003318B1"/>
    <w:rsid w:val="00331B81"/>
    <w:rsid w:val="00332576"/>
    <w:rsid w:val="00333A5F"/>
    <w:rsid w:val="003341B9"/>
    <w:rsid w:val="0033450A"/>
    <w:rsid w:val="00334B21"/>
    <w:rsid w:val="00335062"/>
    <w:rsid w:val="003353EF"/>
    <w:rsid w:val="00335CBD"/>
    <w:rsid w:val="00335DFA"/>
    <w:rsid w:val="003365AE"/>
    <w:rsid w:val="00336819"/>
    <w:rsid w:val="00336ED7"/>
    <w:rsid w:val="00340012"/>
    <w:rsid w:val="003414AD"/>
    <w:rsid w:val="003415A8"/>
    <w:rsid w:val="0034173B"/>
    <w:rsid w:val="003417F9"/>
    <w:rsid w:val="00341890"/>
    <w:rsid w:val="00341F4C"/>
    <w:rsid w:val="00343B4F"/>
    <w:rsid w:val="00343BB2"/>
    <w:rsid w:val="00344C09"/>
    <w:rsid w:val="00345119"/>
    <w:rsid w:val="00345E92"/>
    <w:rsid w:val="003463A3"/>
    <w:rsid w:val="003464FE"/>
    <w:rsid w:val="003465B3"/>
    <w:rsid w:val="00346FE3"/>
    <w:rsid w:val="0034739A"/>
    <w:rsid w:val="003478AC"/>
    <w:rsid w:val="00347E49"/>
    <w:rsid w:val="00350FB0"/>
    <w:rsid w:val="0035128B"/>
    <w:rsid w:val="0035192D"/>
    <w:rsid w:val="00352373"/>
    <w:rsid w:val="003525E7"/>
    <w:rsid w:val="00354173"/>
    <w:rsid w:val="003541C3"/>
    <w:rsid w:val="003543E2"/>
    <w:rsid w:val="00354716"/>
    <w:rsid w:val="00354B5E"/>
    <w:rsid w:val="00354E30"/>
    <w:rsid w:val="0035525C"/>
    <w:rsid w:val="00356304"/>
    <w:rsid w:val="00356877"/>
    <w:rsid w:val="00356B9C"/>
    <w:rsid w:val="0035784E"/>
    <w:rsid w:val="00357DE0"/>
    <w:rsid w:val="00360066"/>
    <w:rsid w:val="0036085C"/>
    <w:rsid w:val="00360C2E"/>
    <w:rsid w:val="00361023"/>
    <w:rsid w:val="0036117F"/>
    <w:rsid w:val="00361826"/>
    <w:rsid w:val="00362EED"/>
    <w:rsid w:val="00362F3A"/>
    <w:rsid w:val="00364749"/>
    <w:rsid w:val="0036481D"/>
    <w:rsid w:val="00364EE8"/>
    <w:rsid w:val="003659D8"/>
    <w:rsid w:val="00365FDA"/>
    <w:rsid w:val="00370261"/>
    <w:rsid w:val="0037056A"/>
    <w:rsid w:val="00370740"/>
    <w:rsid w:val="00370BDB"/>
    <w:rsid w:val="00370CAD"/>
    <w:rsid w:val="003719EC"/>
    <w:rsid w:val="00372190"/>
    <w:rsid w:val="003725BE"/>
    <w:rsid w:val="003728DC"/>
    <w:rsid w:val="0037291C"/>
    <w:rsid w:val="00372D7F"/>
    <w:rsid w:val="003745AC"/>
    <w:rsid w:val="00376950"/>
    <w:rsid w:val="0037717E"/>
    <w:rsid w:val="0037720E"/>
    <w:rsid w:val="003802E3"/>
    <w:rsid w:val="00380A36"/>
    <w:rsid w:val="00380D3B"/>
    <w:rsid w:val="00381035"/>
    <w:rsid w:val="0038126C"/>
    <w:rsid w:val="00381D79"/>
    <w:rsid w:val="00381E5A"/>
    <w:rsid w:val="003824FD"/>
    <w:rsid w:val="00382FE6"/>
    <w:rsid w:val="00383A4E"/>
    <w:rsid w:val="00384A98"/>
    <w:rsid w:val="00384E58"/>
    <w:rsid w:val="00385C3B"/>
    <w:rsid w:val="00385C79"/>
    <w:rsid w:val="00385DE4"/>
    <w:rsid w:val="0038778B"/>
    <w:rsid w:val="003900C2"/>
    <w:rsid w:val="0039092D"/>
    <w:rsid w:val="00390C24"/>
    <w:rsid w:val="003913EA"/>
    <w:rsid w:val="00391C2E"/>
    <w:rsid w:val="00391F30"/>
    <w:rsid w:val="00392021"/>
    <w:rsid w:val="00392A5E"/>
    <w:rsid w:val="00393504"/>
    <w:rsid w:val="00393A9A"/>
    <w:rsid w:val="003948BE"/>
    <w:rsid w:val="003949A2"/>
    <w:rsid w:val="00396F6E"/>
    <w:rsid w:val="003976D3"/>
    <w:rsid w:val="00397A89"/>
    <w:rsid w:val="00397E21"/>
    <w:rsid w:val="003A0B23"/>
    <w:rsid w:val="003A0C93"/>
    <w:rsid w:val="003A1038"/>
    <w:rsid w:val="003A1318"/>
    <w:rsid w:val="003A2B1F"/>
    <w:rsid w:val="003A4680"/>
    <w:rsid w:val="003A47F0"/>
    <w:rsid w:val="003A4999"/>
    <w:rsid w:val="003A5100"/>
    <w:rsid w:val="003A54DD"/>
    <w:rsid w:val="003A566B"/>
    <w:rsid w:val="003A5916"/>
    <w:rsid w:val="003A5B18"/>
    <w:rsid w:val="003A5BBE"/>
    <w:rsid w:val="003A5F9A"/>
    <w:rsid w:val="003A71B7"/>
    <w:rsid w:val="003A769F"/>
    <w:rsid w:val="003A7766"/>
    <w:rsid w:val="003B0631"/>
    <w:rsid w:val="003B09B8"/>
    <w:rsid w:val="003B0AE8"/>
    <w:rsid w:val="003B0D49"/>
    <w:rsid w:val="003B1306"/>
    <w:rsid w:val="003B2434"/>
    <w:rsid w:val="003B2891"/>
    <w:rsid w:val="003B2BE7"/>
    <w:rsid w:val="003B34D1"/>
    <w:rsid w:val="003B3708"/>
    <w:rsid w:val="003B4299"/>
    <w:rsid w:val="003B4982"/>
    <w:rsid w:val="003B4D22"/>
    <w:rsid w:val="003B4E46"/>
    <w:rsid w:val="003B57F4"/>
    <w:rsid w:val="003B5D6A"/>
    <w:rsid w:val="003B63C7"/>
    <w:rsid w:val="003B66A9"/>
    <w:rsid w:val="003B7696"/>
    <w:rsid w:val="003B7DAF"/>
    <w:rsid w:val="003C0E6D"/>
    <w:rsid w:val="003C1C7C"/>
    <w:rsid w:val="003C215A"/>
    <w:rsid w:val="003C32A8"/>
    <w:rsid w:val="003C3D03"/>
    <w:rsid w:val="003C3F1F"/>
    <w:rsid w:val="003C45AB"/>
    <w:rsid w:val="003C4C6A"/>
    <w:rsid w:val="003C54BB"/>
    <w:rsid w:val="003C56C9"/>
    <w:rsid w:val="003C73B6"/>
    <w:rsid w:val="003C7FE9"/>
    <w:rsid w:val="003D0232"/>
    <w:rsid w:val="003D04C5"/>
    <w:rsid w:val="003D0926"/>
    <w:rsid w:val="003D0D38"/>
    <w:rsid w:val="003D15EE"/>
    <w:rsid w:val="003D2D83"/>
    <w:rsid w:val="003D30B5"/>
    <w:rsid w:val="003D370C"/>
    <w:rsid w:val="003D3734"/>
    <w:rsid w:val="003D4405"/>
    <w:rsid w:val="003D45A3"/>
    <w:rsid w:val="003D479B"/>
    <w:rsid w:val="003D4A2E"/>
    <w:rsid w:val="003D5CD7"/>
    <w:rsid w:val="003D5FF5"/>
    <w:rsid w:val="003D6055"/>
    <w:rsid w:val="003D608A"/>
    <w:rsid w:val="003D6333"/>
    <w:rsid w:val="003D640A"/>
    <w:rsid w:val="003D6E9D"/>
    <w:rsid w:val="003D6EE0"/>
    <w:rsid w:val="003D7487"/>
    <w:rsid w:val="003D7A7A"/>
    <w:rsid w:val="003E098A"/>
    <w:rsid w:val="003E0E0F"/>
    <w:rsid w:val="003E10AC"/>
    <w:rsid w:val="003E1494"/>
    <w:rsid w:val="003E16D7"/>
    <w:rsid w:val="003E17A8"/>
    <w:rsid w:val="003E17BF"/>
    <w:rsid w:val="003E2022"/>
    <w:rsid w:val="003E27AE"/>
    <w:rsid w:val="003E33D4"/>
    <w:rsid w:val="003E39C4"/>
    <w:rsid w:val="003E3F76"/>
    <w:rsid w:val="003E47BC"/>
    <w:rsid w:val="003E4A1E"/>
    <w:rsid w:val="003E4F48"/>
    <w:rsid w:val="003E5F4A"/>
    <w:rsid w:val="003E6491"/>
    <w:rsid w:val="003E65C0"/>
    <w:rsid w:val="003E6B07"/>
    <w:rsid w:val="003E7D2F"/>
    <w:rsid w:val="003F0ADA"/>
    <w:rsid w:val="003F10C2"/>
    <w:rsid w:val="003F148A"/>
    <w:rsid w:val="003F2617"/>
    <w:rsid w:val="003F285B"/>
    <w:rsid w:val="003F37E2"/>
    <w:rsid w:val="003F3D00"/>
    <w:rsid w:val="003F41BB"/>
    <w:rsid w:val="003F589A"/>
    <w:rsid w:val="003F5E83"/>
    <w:rsid w:val="003F6434"/>
    <w:rsid w:val="003F6D5D"/>
    <w:rsid w:val="003F6EB3"/>
    <w:rsid w:val="003F72C5"/>
    <w:rsid w:val="004008D5"/>
    <w:rsid w:val="00400D97"/>
    <w:rsid w:val="00402A01"/>
    <w:rsid w:val="00402D45"/>
    <w:rsid w:val="00403689"/>
    <w:rsid w:val="004037C3"/>
    <w:rsid w:val="00403937"/>
    <w:rsid w:val="00403EA2"/>
    <w:rsid w:val="00404AC5"/>
    <w:rsid w:val="00405197"/>
    <w:rsid w:val="00405D21"/>
    <w:rsid w:val="00405E0D"/>
    <w:rsid w:val="0040616C"/>
    <w:rsid w:val="00406609"/>
    <w:rsid w:val="00406671"/>
    <w:rsid w:val="0040757E"/>
    <w:rsid w:val="0041041A"/>
    <w:rsid w:val="00410483"/>
    <w:rsid w:val="004109EA"/>
    <w:rsid w:val="00410D15"/>
    <w:rsid w:val="0041195E"/>
    <w:rsid w:val="00412101"/>
    <w:rsid w:val="0041252B"/>
    <w:rsid w:val="0041290B"/>
    <w:rsid w:val="0041345B"/>
    <w:rsid w:val="004135F3"/>
    <w:rsid w:val="0041395C"/>
    <w:rsid w:val="00413B8D"/>
    <w:rsid w:val="00413D4F"/>
    <w:rsid w:val="00414782"/>
    <w:rsid w:val="00415981"/>
    <w:rsid w:val="00415988"/>
    <w:rsid w:val="00416855"/>
    <w:rsid w:val="00416CCB"/>
    <w:rsid w:val="004174BA"/>
    <w:rsid w:val="00417648"/>
    <w:rsid w:val="00417D6B"/>
    <w:rsid w:val="00420381"/>
    <w:rsid w:val="00420985"/>
    <w:rsid w:val="0042194E"/>
    <w:rsid w:val="00421B50"/>
    <w:rsid w:val="004226D7"/>
    <w:rsid w:val="00422E60"/>
    <w:rsid w:val="00423017"/>
    <w:rsid w:val="00423138"/>
    <w:rsid w:val="00423A63"/>
    <w:rsid w:val="0042430A"/>
    <w:rsid w:val="004243F6"/>
    <w:rsid w:val="0042669F"/>
    <w:rsid w:val="00427580"/>
    <w:rsid w:val="00427D4E"/>
    <w:rsid w:val="004302DE"/>
    <w:rsid w:val="004306BE"/>
    <w:rsid w:val="004309BF"/>
    <w:rsid w:val="00430BFC"/>
    <w:rsid w:val="00431224"/>
    <w:rsid w:val="00431827"/>
    <w:rsid w:val="004331C9"/>
    <w:rsid w:val="004336D4"/>
    <w:rsid w:val="00434BCF"/>
    <w:rsid w:val="00434CFD"/>
    <w:rsid w:val="00435047"/>
    <w:rsid w:val="004353DF"/>
    <w:rsid w:val="00436703"/>
    <w:rsid w:val="00436EAF"/>
    <w:rsid w:val="004372E0"/>
    <w:rsid w:val="00437F0A"/>
    <w:rsid w:val="00440337"/>
    <w:rsid w:val="0044053A"/>
    <w:rsid w:val="00440545"/>
    <w:rsid w:val="004406F6"/>
    <w:rsid w:val="0044072B"/>
    <w:rsid w:val="00440C5B"/>
    <w:rsid w:val="00440E41"/>
    <w:rsid w:val="0044147F"/>
    <w:rsid w:val="0044266A"/>
    <w:rsid w:val="0044272B"/>
    <w:rsid w:val="00442BE9"/>
    <w:rsid w:val="0044307B"/>
    <w:rsid w:val="00444349"/>
    <w:rsid w:val="00444842"/>
    <w:rsid w:val="00445A71"/>
    <w:rsid w:val="004461DF"/>
    <w:rsid w:val="0044624E"/>
    <w:rsid w:val="0044625F"/>
    <w:rsid w:val="00446A10"/>
    <w:rsid w:val="00446B02"/>
    <w:rsid w:val="00446BA2"/>
    <w:rsid w:val="004475DD"/>
    <w:rsid w:val="0045013E"/>
    <w:rsid w:val="00450776"/>
    <w:rsid w:val="004510A0"/>
    <w:rsid w:val="004518B8"/>
    <w:rsid w:val="00451A83"/>
    <w:rsid w:val="004526D2"/>
    <w:rsid w:val="00453505"/>
    <w:rsid w:val="0045444E"/>
    <w:rsid w:val="00454728"/>
    <w:rsid w:val="00454C05"/>
    <w:rsid w:val="00460489"/>
    <w:rsid w:val="0046094B"/>
    <w:rsid w:val="00460CD0"/>
    <w:rsid w:val="004625B6"/>
    <w:rsid w:val="00462829"/>
    <w:rsid w:val="00462946"/>
    <w:rsid w:val="0046333B"/>
    <w:rsid w:val="00463BE2"/>
    <w:rsid w:val="004643DC"/>
    <w:rsid w:val="00464AB2"/>
    <w:rsid w:val="00465E93"/>
    <w:rsid w:val="00466474"/>
    <w:rsid w:val="00466AFD"/>
    <w:rsid w:val="00467EF6"/>
    <w:rsid w:val="004700DE"/>
    <w:rsid w:val="004700EA"/>
    <w:rsid w:val="004701AA"/>
    <w:rsid w:val="00470267"/>
    <w:rsid w:val="00470459"/>
    <w:rsid w:val="0047233A"/>
    <w:rsid w:val="004733C3"/>
    <w:rsid w:val="0047355A"/>
    <w:rsid w:val="00474B47"/>
    <w:rsid w:val="00474E2B"/>
    <w:rsid w:val="00475E42"/>
    <w:rsid w:val="00476E1D"/>
    <w:rsid w:val="00477196"/>
    <w:rsid w:val="00477337"/>
    <w:rsid w:val="00477546"/>
    <w:rsid w:val="0047769F"/>
    <w:rsid w:val="004800AF"/>
    <w:rsid w:val="004805C7"/>
    <w:rsid w:val="0048060D"/>
    <w:rsid w:val="004807F4"/>
    <w:rsid w:val="0048092B"/>
    <w:rsid w:val="00480C83"/>
    <w:rsid w:val="00480D0A"/>
    <w:rsid w:val="00481291"/>
    <w:rsid w:val="00481606"/>
    <w:rsid w:val="004817C7"/>
    <w:rsid w:val="00481D4B"/>
    <w:rsid w:val="00482076"/>
    <w:rsid w:val="004820CD"/>
    <w:rsid w:val="00482FC0"/>
    <w:rsid w:val="004837CB"/>
    <w:rsid w:val="00483F3C"/>
    <w:rsid w:val="00485033"/>
    <w:rsid w:val="00485C86"/>
    <w:rsid w:val="0048658A"/>
    <w:rsid w:val="00486657"/>
    <w:rsid w:val="00487ABD"/>
    <w:rsid w:val="004902A6"/>
    <w:rsid w:val="0049036B"/>
    <w:rsid w:val="0049214D"/>
    <w:rsid w:val="00492C30"/>
    <w:rsid w:val="004933E4"/>
    <w:rsid w:val="00493B75"/>
    <w:rsid w:val="00493D39"/>
    <w:rsid w:val="00493EF9"/>
    <w:rsid w:val="00493FC6"/>
    <w:rsid w:val="00494661"/>
    <w:rsid w:val="0049554D"/>
    <w:rsid w:val="00495976"/>
    <w:rsid w:val="00495E49"/>
    <w:rsid w:val="004966BD"/>
    <w:rsid w:val="00497F9A"/>
    <w:rsid w:val="004A0007"/>
    <w:rsid w:val="004A0B7A"/>
    <w:rsid w:val="004A16FB"/>
    <w:rsid w:val="004A1FB0"/>
    <w:rsid w:val="004A28F1"/>
    <w:rsid w:val="004A3AB2"/>
    <w:rsid w:val="004A4296"/>
    <w:rsid w:val="004A4AA7"/>
    <w:rsid w:val="004A51E2"/>
    <w:rsid w:val="004A5C8D"/>
    <w:rsid w:val="004A682D"/>
    <w:rsid w:val="004B00A4"/>
    <w:rsid w:val="004B0C56"/>
    <w:rsid w:val="004B0D8C"/>
    <w:rsid w:val="004B1F65"/>
    <w:rsid w:val="004B2249"/>
    <w:rsid w:val="004B2754"/>
    <w:rsid w:val="004B2A12"/>
    <w:rsid w:val="004B2D8D"/>
    <w:rsid w:val="004B369B"/>
    <w:rsid w:val="004B3706"/>
    <w:rsid w:val="004B379B"/>
    <w:rsid w:val="004B3ED6"/>
    <w:rsid w:val="004B50C8"/>
    <w:rsid w:val="004B5216"/>
    <w:rsid w:val="004B562E"/>
    <w:rsid w:val="004B58F9"/>
    <w:rsid w:val="004B5B22"/>
    <w:rsid w:val="004B5BEB"/>
    <w:rsid w:val="004B601A"/>
    <w:rsid w:val="004B6292"/>
    <w:rsid w:val="004B6562"/>
    <w:rsid w:val="004B6CAD"/>
    <w:rsid w:val="004B78E5"/>
    <w:rsid w:val="004C0410"/>
    <w:rsid w:val="004C04ED"/>
    <w:rsid w:val="004C0F01"/>
    <w:rsid w:val="004C1DE4"/>
    <w:rsid w:val="004C2080"/>
    <w:rsid w:val="004C2363"/>
    <w:rsid w:val="004C2F9A"/>
    <w:rsid w:val="004C3A2F"/>
    <w:rsid w:val="004C4571"/>
    <w:rsid w:val="004C5429"/>
    <w:rsid w:val="004C54E6"/>
    <w:rsid w:val="004C5ADC"/>
    <w:rsid w:val="004C5CCC"/>
    <w:rsid w:val="004C6648"/>
    <w:rsid w:val="004C7C9E"/>
    <w:rsid w:val="004D0374"/>
    <w:rsid w:val="004D0630"/>
    <w:rsid w:val="004D06BB"/>
    <w:rsid w:val="004D07F0"/>
    <w:rsid w:val="004D0A47"/>
    <w:rsid w:val="004D0EE5"/>
    <w:rsid w:val="004D0F8E"/>
    <w:rsid w:val="004D108D"/>
    <w:rsid w:val="004D12E8"/>
    <w:rsid w:val="004D1532"/>
    <w:rsid w:val="004D17CF"/>
    <w:rsid w:val="004D1A0F"/>
    <w:rsid w:val="004D1A76"/>
    <w:rsid w:val="004D1C87"/>
    <w:rsid w:val="004D22FD"/>
    <w:rsid w:val="004D233D"/>
    <w:rsid w:val="004D477E"/>
    <w:rsid w:val="004D4CA5"/>
    <w:rsid w:val="004D5130"/>
    <w:rsid w:val="004D59D9"/>
    <w:rsid w:val="004D6450"/>
    <w:rsid w:val="004D6E43"/>
    <w:rsid w:val="004D7B26"/>
    <w:rsid w:val="004E0426"/>
    <w:rsid w:val="004E07F8"/>
    <w:rsid w:val="004E1021"/>
    <w:rsid w:val="004E1526"/>
    <w:rsid w:val="004E1C29"/>
    <w:rsid w:val="004E1F93"/>
    <w:rsid w:val="004E2E6F"/>
    <w:rsid w:val="004E3130"/>
    <w:rsid w:val="004E3A26"/>
    <w:rsid w:val="004E440B"/>
    <w:rsid w:val="004E4F62"/>
    <w:rsid w:val="004E532E"/>
    <w:rsid w:val="004E5BF0"/>
    <w:rsid w:val="004E615A"/>
    <w:rsid w:val="004E61C1"/>
    <w:rsid w:val="004E6B9E"/>
    <w:rsid w:val="004E7CB0"/>
    <w:rsid w:val="004F01DD"/>
    <w:rsid w:val="004F039F"/>
    <w:rsid w:val="004F1A4B"/>
    <w:rsid w:val="004F1DD1"/>
    <w:rsid w:val="004F2D55"/>
    <w:rsid w:val="004F310A"/>
    <w:rsid w:val="004F40C1"/>
    <w:rsid w:val="004F4DCA"/>
    <w:rsid w:val="004F5594"/>
    <w:rsid w:val="004F6481"/>
    <w:rsid w:val="004F6B01"/>
    <w:rsid w:val="004F70CD"/>
    <w:rsid w:val="00500A08"/>
    <w:rsid w:val="00500A66"/>
    <w:rsid w:val="0050106B"/>
    <w:rsid w:val="00501441"/>
    <w:rsid w:val="00501DCF"/>
    <w:rsid w:val="00502417"/>
    <w:rsid w:val="00502A25"/>
    <w:rsid w:val="00502FC6"/>
    <w:rsid w:val="005037E7"/>
    <w:rsid w:val="005039CC"/>
    <w:rsid w:val="00503D04"/>
    <w:rsid w:val="00504494"/>
    <w:rsid w:val="00504C35"/>
    <w:rsid w:val="00504C72"/>
    <w:rsid w:val="00505B29"/>
    <w:rsid w:val="00505DC9"/>
    <w:rsid w:val="00506B86"/>
    <w:rsid w:val="0050710E"/>
    <w:rsid w:val="00507657"/>
    <w:rsid w:val="00507D6E"/>
    <w:rsid w:val="0051025D"/>
    <w:rsid w:val="00510B16"/>
    <w:rsid w:val="005110BD"/>
    <w:rsid w:val="005113CA"/>
    <w:rsid w:val="00512004"/>
    <w:rsid w:val="005127F2"/>
    <w:rsid w:val="00514526"/>
    <w:rsid w:val="00515D4B"/>
    <w:rsid w:val="0051657D"/>
    <w:rsid w:val="00516AFB"/>
    <w:rsid w:val="00516BB8"/>
    <w:rsid w:val="0051730E"/>
    <w:rsid w:val="005174BD"/>
    <w:rsid w:val="005175C9"/>
    <w:rsid w:val="005175F9"/>
    <w:rsid w:val="00517AD7"/>
    <w:rsid w:val="00521D71"/>
    <w:rsid w:val="005231E7"/>
    <w:rsid w:val="00523D5B"/>
    <w:rsid w:val="00524A31"/>
    <w:rsid w:val="005263AF"/>
    <w:rsid w:val="00526FF6"/>
    <w:rsid w:val="005279BB"/>
    <w:rsid w:val="00527A9B"/>
    <w:rsid w:val="0053031F"/>
    <w:rsid w:val="005307E4"/>
    <w:rsid w:val="00530FD1"/>
    <w:rsid w:val="00531ACF"/>
    <w:rsid w:val="0053212D"/>
    <w:rsid w:val="005332B3"/>
    <w:rsid w:val="0053351F"/>
    <w:rsid w:val="005335FF"/>
    <w:rsid w:val="00533D5C"/>
    <w:rsid w:val="0053468F"/>
    <w:rsid w:val="00534AD2"/>
    <w:rsid w:val="00535226"/>
    <w:rsid w:val="00535B18"/>
    <w:rsid w:val="0053658D"/>
    <w:rsid w:val="0053684F"/>
    <w:rsid w:val="00536D2D"/>
    <w:rsid w:val="00536E5D"/>
    <w:rsid w:val="0054077F"/>
    <w:rsid w:val="00542801"/>
    <w:rsid w:val="005428EB"/>
    <w:rsid w:val="005436B1"/>
    <w:rsid w:val="005438E3"/>
    <w:rsid w:val="00543EBA"/>
    <w:rsid w:val="005444DA"/>
    <w:rsid w:val="0054482C"/>
    <w:rsid w:val="0054579F"/>
    <w:rsid w:val="00545810"/>
    <w:rsid w:val="0054615F"/>
    <w:rsid w:val="00546B19"/>
    <w:rsid w:val="00547019"/>
    <w:rsid w:val="005474FC"/>
    <w:rsid w:val="00550A0A"/>
    <w:rsid w:val="00551028"/>
    <w:rsid w:val="00551856"/>
    <w:rsid w:val="00551A93"/>
    <w:rsid w:val="00551BB7"/>
    <w:rsid w:val="00552155"/>
    <w:rsid w:val="00553487"/>
    <w:rsid w:val="00553880"/>
    <w:rsid w:val="0055391A"/>
    <w:rsid w:val="00553BD0"/>
    <w:rsid w:val="00554A30"/>
    <w:rsid w:val="00554C7B"/>
    <w:rsid w:val="00554FC7"/>
    <w:rsid w:val="00555BD7"/>
    <w:rsid w:val="0055634A"/>
    <w:rsid w:val="00556BDA"/>
    <w:rsid w:val="0056019B"/>
    <w:rsid w:val="005603D0"/>
    <w:rsid w:val="00560B58"/>
    <w:rsid w:val="00561056"/>
    <w:rsid w:val="005616F6"/>
    <w:rsid w:val="005619DD"/>
    <w:rsid w:val="00561F25"/>
    <w:rsid w:val="005622E5"/>
    <w:rsid w:val="0056250F"/>
    <w:rsid w:val="00562803"/>
    <w:rsid w:val="00562A5C"/>
    <w:rsid w:val="00562A6C"/>
    <w:rsid w:val="00562DB0"/>
    <w:rsid w:val="0056335B"/>
    <w:rsid w:val="00563D30"/>
    <w:rsid w:val="00563FEC"/>
    <w:rsid w:val="0056435A"/>
    <w:rsid w:val="00564832"/>
    <w:rsid w:val="0056560B"/>
    <w:rsid w:val="00566C65"/>
    <w:rsid w:val="00566F37"/>
    <w:rsid w:val="00567B24"/>
    <w:rsid w:val="005709E2"/>
    <w:rsid w:val="00570BDE"/>
    <w:rsid w:val="00571128"/>
    <w:rsid w:val="00572395"/>
    <w:rsid w:val="00573672"/>
    <w:rsid w:val="005739DE"/>
    <w:rsid w:val="00573BDD"/>
    <w:rsid w:val="00574058"/>
    <w:rsid w:val="00574296"/>
    <w:rsid w:val="005744B6"/>
    <w:rsid w:val="00574C92"/>
    <w:rsid w:val="005750AB"/>
    <w:rsid w:val="0057574F"/>
    <w:rsid w:val="00576180"/>
    <w:rsid w:val="005763EB"/>
    <w:rsid w:val="00576686"/>
    <w:rsid w:val="00576723"/>
    <w:rsid w:val="00577B06"/>
    <w:rsid w:val="00580406"/>
    <w:rsid w:val="005809C2"/>
    <w:rsid w:val="00580ABA"/>
    <w:rsid w:val="005815F4"/>
    <w:rsid w:val="005815F7"/>
    <w:rsid w:val="005818B9"/>
    <w:rsid w:val="00581BFA"/>
    <w:rsid w:val="00581E1C"/>
    <w:rsid w:val="005821D3"/>
    <w:rsid w:val="0058244E"/>
    <w:rsid w:val="005824CB"/>
    <w:rsid w:val="00583655"/>
    <w:rsid w:val="005837AC"/>
    <w:rsid w:val="005837E0"/>
    <w:rsid w:val="00583BA4"/>
    <w:rsid w:val="005844CD"/>
    <w:rsid w:val="00584A91"/>
    <w:rsid w:val="00584C8C"/>
    <w:rsid w:val="0058557B"/>
    <w:rsid w:val="00585970"/>
    <w:rsid w:val="005872C1"/>
    <w:rsid w:val="00587948"/>
    <w:rsid w:val="00587EE1"/>
    <w:rsid w:val="005908A5"/>
    <w:rsid w:val="00590AED"/>
    <w:rsid w:val="00590E41"/>
    <w:rsid w:val="00591083"/>
    <w:rsid w:val="005928FF"/>
    <w:rsid w:val="00592DA8"/>
    <w:rsid w:val="00594321"/>
    <w:rsid w:val="00594DE1"/>
    <w:rsid w:val="005952CE"/>
    <w:rsid w:val="005964E7"/>
    <w:rsid w:val="005968B9"/>
    <w:rsid w:val="00596E1A"/>
    <w:rsid w:val="00596EE4"/>
    <w:rsid w:val="005A01D4"/>
    <w:rsid w:val="005A04CE"/>
    <w:rsid w:val="005A0C9B"/>
    <w:rsid w:val="005A1565"/>
    <w:rsid w:val="005A17D9"/>
    <w:rsid w:val="005A1B71"/>
    <w:rsid w:val="005A2476"/>
    <w:rsid w:val="005A2CA9"/>
    <w:rsid w:val="005A2D1D"/>
    <w:rsid w:val="005A2D22"/>
    <w:rsid w:val="005A31EF"/>
    <w:rsid w:val="005A3604"/>
    <w:rsid w:val="005A3736"/>
    <w:rsid w:val="005A39AA"/>
    <w:rsid w:val="005A4165"/>
    <w:rsid w:val="005A471B"/>
    <w:rsid w:val="005A4CD7"/>
    <w:rsid w:val="005A4DD7"/>
    <w:rsid w:val="005A4FCA"/>
    <w:rsid w:val="005A5E5A"/>
    <w:rsid w:val="005A6332"/>
    <w:rsid w:val="005A734F"/>
    <w:rsid w:val="005A7866"/>
    <w:rsid w:val="005A7B4C"/>
    <w:rsid w:val="005B0410"/>
    <w:rsid w:val="005B1441"/>
    <w:rsid w:val="005B187E"/>
    <w:rsid w:val="005B35D9"/>
    <w:rsid w:val="005B367D"/>
    <w:rsid w:val="005B3B0D"/>
    <w:rsid w:val="005B43CF"/>
    <w:rsid w:val="005B49C4"/>
    <w:rsid w:val="005B4FBF"/>
    <w:rsid w:val="005B50F8"/>
    <w:rsid w:val="005B522B"/>
    <w:rsid w:val="005B5645"/>
    <w:rsid w:val="005B6B1F"/>
    <w:rsid w:val="005B6F5B"/>
    <w:rsid w:val="005B7610"/>
    <w:rsid w:val="005B7C92"/>
    <w:rsid w:val="005C0764"/>
    <w:rsid w:val="005C0914"/>
    <w:rsid w:val="005C11F9"/>
    <w:rsid w:val="005C16A5"/>
    <w:rsid w:val="005C1D89"/>
    <w:rsid w:val="005C2882"/>
    <w:rsid w:val="005C29F5"/>
    <w:rsid w:val="005C2D33"/>
    <w:rsid w:val="005C2DF6"/>
    <w:rsid w:val="005C2E0F"/>
    <w:rsid w:val="005C3662"/>
    <w:rsid w:val="005C3E21"/>
    <w:rsid w:val="005C4C9A"/>
    <w:rsid w:val="005C50B6"/>
    <w:rsid w:val="005C5FE9"/>
    <w:rsid w:val="005C60D9"/>
    <w:rsid w:val="005C650D"/>
    <w:rsid w:val="005C68F6"/>
    <w:rsid w:val="005C6DDD"/>
    <w:rsid w:val="005C6FCD"/>
    <w:rsid w:val="005C701E"/>
    <w:rsid w:val="005C7132"/>
    <w:rsid w:val="005C7166"/>
    <w:rsid w:val="005C7194"/>
    <w:rsid w:val="005C755E"/>
    <w:rsid w:val="005C7D4C"/>
    <w:rsid w:val="005D0221"/>
    <w:rsid w:val="005D0340"/>
    <w:rsid w:val="005D0489"/>
    <w:rsid w:val="005D0D27"/>
    <w:rsid w:val="005D141C"/>
    <w:rsid w:val="005D1666"/>
    <w:rsid w:val="005D1A8B"/>
    <w:rsid w:val="005D232D"/>
    <w:rsid w:val="005D24B6"/>
    <w:rsid w:val="005D2545"/>
    <w:rsid w:val="005D27B0"/>
    <w:rsid w:val="005D3193"/>
    <w:rsid w:val="005D49CA"/>
    <w:rsid w:val="005D5246"/>
    <w:rsid w:val="005D5A3C"/>
    <w:rsid w:val="005D606E"/>
    <w:rsid w:val="005D6CCC"/>
    <w:rsid w:val="005D6F4B"/>
    <w:rsid w:val="005D78F4"/>
    <w:rsid w:val="005D7AEF"/>
    <w:rsid w:val="005E0381"/>
    <w:rsid w:val="005E06D5"/>
    <w:rsid w:val="005E12A7"/>
    <w:rsid w:val="005E18F9"/>
    <w:rsid w:val="005E1F18"/>
    <w:rsid w:val="005E1FE8"/>
    <w:rsid w:val="005E2F68"/>
    <w:rsid w:val="005E347E"/>
    <w:rsid w:val="005E3C3B"/>
    <w:rsid w:val="005E45D0"/>
    <w:rsid w:val="005E4A2A"/>
    <w:rsid w:val="005E4CF4"/>
    <w:rsid w:val="005E4FEA"/>
    <w:rsid w:val="005E53A6"/>
    <w:rsid w:val="005E54C3"/>
    <w:rsid w:val="005E65AA"/>
    <w:rsid w:val="005E7600"/>
    <w:rsid w:val="005E76DA"/>
    <w:rsid w:val="005E7F01"/>
    <w:rsid w:val="005F03EC"/>
    <w:rsid w:val="005F0495"/>
    <w:rsid w:val="005F08E5"/>
    <w:rsid w:val="005F1678"/>
    <w:rsid w:val="005F1AFB"/>
    <w:rsid w:val="005F2145"/>
    <w:rsid w:val="005F2BF2"/>
    <w:rsid w:val="005F3526"/>
    <w:rsid w:val="005F3905"/>
    <w:rsid w:val="005F4C41"/>
    <w:rsid w:val="005F4EEA"/>
    <w:rsid w:val="005F71D7"/>
    <w:rsid w:val="005F735C"/>
    <w:rsid w:val="005F7C68"/>
    <w:rsid w:val="006002D5"/>
    <w:rsid w:val="006007D5"/>
    <w:rsid w:val="006008CA"/>
    <w:rsid w:val="00600C76"/>
    <w:rsid w:val="00600D2A"/>
    <w:rsid w:val="00601055"/>
    <w:rsid w:val="006014A5"/>
    <w:rsid w:val="006014CE"/>
    <w:rsid w:val="00601573"/>
    <w:rsid w:val="00601C5F"/>
    <w:rsid w:val="00601ED6"/>
    <w:rsid w:val="00602F9F"/>
    <w:rsid w:val="006030E4"/>
    <w:rsid w:val="006032D3"/>
    <w:rsid w:val="00603A6D"/>
    <w:rsid w:val="00604B6E"/>
    <w:rsid w:val="00604BB8"/>
    <w:rsid w:val="0060592A"/>
    <w:rsid w:val="00605AAE"/>
    <w:rsid w:val="00606F6E"/>
    <w:rsid w:val="00607848"/>
    <w:rsid w:val="00607923"/>
    <w:rsid w:val="00610058"/>
    <w:rsid w:val="00610268"/>
    <w:rsid w:val="00610693"/>
    <w:rsid w:val="00610AEF"/>
    <w:rsid w:val="00610E9D"/>
    <w:rsid w:val="00612543"/>
    <w:rsid w:val="006128AB"/>
    <w:rsid w:val="00613A4E"/>
    <w:rsid w:val="006143CE"/>
    <w:rsid w:val="00614D65"/>
    <w:rsid w:val="006156C6"/>
    <w:rsid w:val="0061576E"/>
    <w:rsid w:val="00615AC6"/>
    <w:rsid w:val="00615CD3"/>
    <w:rsid w:val="00615E80"/>
    <w:rsid w:val="00616656"/>
    <w:rsid w:val="006168B3"/>
    <w:rsid w:val="00616966"/>
    <w:rsid w:val="006179D8"/>
    <w:rsid w:val="00620B18"/>
    <w:rsid w:val="00620C2A"/>
    <w:rsid w:val="00620F8F"/>
    <w:rsid w:val="006215CE"/>
    <w:rsid w:val="00621789"/>
    <w:rsid w:val="00622997"/>
    <w:rsid w:val="006230B5"/>
    <w:rsid w:val="00623A28"/>
    <w:rsid w:val="006248F1"/>
    <w:rsid w:val="0062502F"/>
    <w:rsid w:val="00626284"/>
    <w:rsid w:val="00626F4A"/>
    <w:rsid w:val="00627115"/>
    <w:rsid w:val="00627506"/>
    <w:rsid w:val="006277AD"/>
    <w:rsid w:val="00627AF6"/>
    <w:rsid w:val="0063032F"/>
    <w:rsid w:val="006304DE"/>
    <w:rsid w:val="00630629"/>
    <w:rsid w:val="006306E8"/>
    <w:rsid w:val="006310E4"/>
    <w:rsid w:val="00631745"/>
    <w:rsid w:val="00632404"/>
    <w:rsid w:val="0063294C"/>
    <w:rsid w:val="00632A04"/>
    <w:rsid w:val="006347C9"/>
    <w:rsid w:val="00634A51"/>
    <w:rsid w:val="00634C68"/>
    <w:rsid w:val="00634E59"/>
    <w:rsid w:val="00634FAD"/>
    <w:rsid w:val="00635CB9"/>
    <w:rsid w:val="00635CC1"/>
    <w:rsid w:val="006365A9"/>
    <w:rsid w:val="00636767"/>
    <w:rsid w:val="00636BC6"/>
    <w:rsid w:val="00637821"/>
    <w:rsid w:val="006407D6"/>
    <w:rsid w:val="006408FE"/>
    <w:rsid w:val="00640A80"/>
    <w:rsid w:val="00640CE4"/>
    <w:rsid w:val="00641730"/>
    <w:rsid w:val="00641AFA"/>
    <w:rsid w:val="006429AE"/>
    <w:rsid w:val="006433F3"/>
    <w:rsid w:val="00643E8A"/>
    <w:rsid w:val="00644544"/>
    <w:rsid w:val="00645C14"/>
    <w:rsid w:val="006461BB"/>
    <w:rsid w:val="006478C4"/>
    <w:rsid w:val="00647A7F"/>
    <w:rsid w:val="00647C38"/>
    <w:rsid w:val="00647DA1"/>
    <w:rsid w:val="00647FC6"/>
    <w:rsid w:val="006501C7"/>
    <w:rsid w:val="00650742"/>
    <w:rsid w:val="00650A21"/>
    <w:rsid w:val="00650C0D"/>
    <w:rsid w:val="00650F5D"/>
    <w:rsid w:val="00650FE7"/>
    <w:rsid w:val="0065126E"/>
    <w:rsid w:val="00651453"/>
    <w:rsid w:val="00651B99"/>
    <w:rsid w:val="00651BFF"/>
    <w:rsid w:val="00652939"/>
    <w:rsid w:val="006530FB"/>
    <w:rsid w:val="0065310F"/>
    <w:rsid w:val="00653111"/>
    <w:rsid w:val="0065375B"/>
    <w:rsid w:val="00654618"/>
    <w:rsid w:val="006555AD"/>
    <w:rsid w:val="00655825"/>
    <w:rsid w:val="006561E7"/>
    <w:rsid w:val="00656216"/>
    <w:rsid w:val="0065625D"/>
    <w:rsid w:val="006565CB"/>
    <w:rsid w:val="00656864"/>
    <w:rsid w:val="00656CF1"/>
    <w:rsid w:val="006578AE"/>
    <w:rsid w:val="006608DB"/>
    <w:rsid w:val="006609FE"/>
    <w:rsid w:val="00660DFF"/>
    <w:rsid w:val="00661BE3"/>
    <w:rsid w:val="00662EBC"/>
    <w:rsid w:val="00663430"/>
    <w:rsid w:val="00663F9E"/>
    <w:rsid w:val="0066402F"/>
    <w:rsid w:val="0066427E"/>
    <w:rsid w:val="00664956"/>
    <w:rsid w:val="00666648"/>
    <w:rsid w:val="00666CFA"/>
    <w:rsid w:val="00667093"/>
    <w:rsid w:val="00667228"/>
    <w:rsid w:val="0066790A"/>
    <w:rsid w:val="00670003"/>
    <w:rsid w:val="006703CC"/>
    <w:rsid w:val="00670E54"/>
    <w:rsid w:val="00671D77"/>
    <w:rsid w:val="00671DC2"/>
    <w:rsid w:val="00672C7B"/>
    <w:rsid w:val="0067326B"/>
    <w:rsid w:val="006744FE"/>
    <w:rsid w:val="006748EA"/>
    <w:rsid w:val="006750AA"/>
    <w:rsid w:val="00675164"/>
    <w:rsid w:val="0067558E"/>
    <w:rsid w:val="00675DDE"/>
    <w:rsid w:val="00676B62"/>
    <w:rsid w:val="00677D6A"/>
    <w:rsid w:val="00677FD7"/>
    <w:rsid w:val="00681A65"/>
    <w:rsid w:val="00681B4C"/>
    <w:rsid w:val="00681FB8"/>
    <w:rsid w:val="00682AEA"/>
    <w:rsid w:val="00683C0C"/>
    <w:rsid w:val="00684E31"/>
    <w:rsid w:val="0068519A"/>
    <w:rsid w:val="006853BC"/>
    <w:rsid w:val="0068621C"/>
    <w:rsid w:val="00686774"/>
    <w:rsid w:val="00686795"/>
    <w:rsid w:val="00686BA0"/>
    <w:rsid w:val="00687E32"/>
    <w:rsid w:val="00687F56"/>
    <w:rsid w:val="0069020D"/>
    <w:rsid w:val="00690353"/>
    <w:rsid w:val="00690534"/>
    <w:rsid w:val="0069063D"/>
    <w:rsid w:val="00691A2F"/>
    <w:rsid w:val="00691DD0"/>
    <w:rsid w:val="00691ED3"/>
    <w:rsid w:val="006924BF"/>
    <w:rsid w:val="006928F0"/>
    <w:rsid w:val="00692E1D"/>
    <w:rsid w:val="006930EF"/>
    <w:rsid w:val="00693361"/>
    <w:rsid w:val="00693AA8"/>
    <w:rsid w:val="00693CF2"/>
    <w:rsid w:val="00694274"/>
    <w:rsid w:val="00694549"/>
    <w:rsid w:val="00694A92"/>
    <w:rsid w:val="00694AE7"/>
    <w:rsid w:val="00694CCD"/>
    <w:rsid w:val="00695013"/>
    <w:rsid w:val="00696C38"/>
    <w:rsid w:val="006975D4"/>
    <w:rsid w:val="0069779B"/>
    <w:rsid w:val="006A1B7B"/>
    <w:rsid w:val="006A362C"/>
    <w:rsid w:val="006A3BB8"/>
    <w:rsid w:val="006A3D22"/>
    <w:rsid w:val="006A40BA"/>
    <w:rsid w:val="006A4498"/>
    <w:rsid w:val="006A45D2"/>
    <w:rsid w:val="006A46F2"/>
    <w:rsid w:val="006A4827"/>
    <w:rsid w:val="006A4B46"/>
    <w:rsid w:val="006A5D82"/>
    <w:rsid w:val="006A6301"/>
    <w:rsid w:val="006A6434"/>
    <w:rsid w:val="006A7090"/>
    <w:rsid w:val="006A7161"/>
    <w:rsid w:val="006A7664"/>
    <w:rsid w:val="006A7710"/>
    <w:rsid w:val="006B05F7"/>
    <w:rsid w:val="006B1239"/>
    <w:rsid w:val="006B1E7F"/>
    <w:rsid w:val="006B2342"/>
    <w:rsid w:val="006B2C09"/>
    <w:rsid w:val="006B33E8"/>
    <w:rsid w:val="006B3D69"/>
    <w:rsid w:val="006B4BD8"/>
    <w:rsid w:val="006B535F"/>
    <w:rsid w:val="006B55A6"/>
    <w:rsid w:val="006B5632"/>
    <w:rsid w:val="006B5EB8"/>
    <w:rsid w:val="006B6386"/>
    <w:rsid w:val="006B64AA"/>
    <w:rsid w:val="006B6A03"/>
    <w:rsid w:val="006B7066"/>
    <w:rsid w:val="006B76A9"/>
    <w:rsid w:val="006B7A4A"/>
    <w:rsid w:val="006B7EEE"/>
    <w:rsid w:val="006C04A4"/>
    <w:rsid w:val="006C0586"/>
    <w:rsid w:val="006C1864"/>
    <w:rsid w:val="006C2AAD"/>
    <w:rsid w:val="006C2E08"/>
    <w:rsid w:val="006C3FE8"/>
    <w:rsid w:val="006C53F7"/>
    <w:rsid w:val="006C5ED2"/>
    <w:rsid w:val="006C61B8"/>
    <w:rsid w:val="006C6951"/>
    <w:rsid w:val="006C7C57"/>
    <w:rsid w:val="006C7E9F"/>
    <w:rsid w:val="006C7F41"/>
    <w:rsid w:val="006D0179"/>
    <w:rsid w:val="006D0892"/>
    <w:rsid w:val="006D0E9E"/>
    <w:rsid w:val="006D1101"/>
    <w:rsid w:val="006D2026"/>
    <w:rsid w:val="006D26FF"/>
    <w:rsid w:val="006D2B25"/>
    <w:rsid w:val="006D2D5C"/>
    <w:rsid w:val="006D3417"/>
    <w:rsid w:val="006D3631"/>
    <w:rsid w:val="006D3837"/>
    <w:rsid w:val="006D4472"/>
    <w:rsid w:val="006D4EBD"/>
    <w:rsid w:val="006D5D63"/>
    <w:rsid w:val="006D61BD"/>
    <w:rsid w:val="006D63B1"/>
    <w:rsid w:val="006D6A90"/>
    <w:rsid w:val="006D6D68"/>
    <w:rsid w:val="006D74A4"/>
    <w:rsid w:val="006D7A98"/>
    <w:rsid w:val="006D7B54"/>
    <w:rsid w:val="006E11D4"/>
    <w:rsid w:val="006E153B"/>
    <w:rsid w:val="006E167B"/>
    <w:rsid w:val="006E1A9E"/>
    <w:rsid w:val="006E1B50"/>
    <w:rsid w:val="006E1CE2"/>
    <w:rsid w:val="006E2BFA"/>
    <w:rsid w:val="006E3561"/>
    <w:rsid w:val="006E4208"/>
    <w:rsid w:val="006E4A5C"/>
    <w:rsid w:val="006E4A8C"/>
    <w:rsid w:val="006E56E8"/>
    <w:rsid w:val="006E5CD2"/>
    <w:rsid w:val="006E5E26"/>
    <w:rsid w:val="006E5F08"/>
    <w:rsid w:val="006E5F54"/>
    <w:rsid w:val="006E618A"/>
    <w:rsid w:val="006E7572"/>
    <w:rsid w:val="006E793F"/>
    <w:rsid w:val="006E797D"/>
    <w:rsid w:val="006F0A51"/>
    <w:rsid w:val="006F0B35"/>
    <w:rsid w:val="006F0D53"/>
    <w:rsid w:val="006F0FE9"/>
    <w:rsid w:val="006F16F8"/>
    <w:rsid w:val="006F299F"/>
    <w:rsid w:val="006F3321"/>
    <w:rsid w:val="006F3339"/>
    <w:rsid w:val="006F3B6D"/>
    <w:rsid w:val="006F42AD"/>
    <w:rsid w:val="006F5890"/>
    <w:rsid w:val="006F6EE6"/>
    <w:rsid w:val="006F72B7"/>
    <w:rsid w:val="006F745C"/>
    <w:rsid w:val="006F7952"/>
    <w:rsid w:val="00700D7A"/>
    <w:rsid w:val="00701955"/>
    <w:rsid w:val="00702C7D"/>
    <w:rsid w:val="00703527"/>
    <w:rsid w:val="00703F36"/>
    <w:rsid w:val="00703FDA"/>
    <w:rsid w:val="00704A87"/>
    <w:rsid w:val="00704DD3"/>
    <w:rsid w:val="007052EE"/>
    <w:rsid w:val="007056ED"/>
    <w:rsid w:val="007057B2"/>
    <w:rsid w:val="007057F5"/>
    <w:rsid w:val="0070638F"/>
    <w:rsid w:val="007068D4"/>
    <w:rsid w:val="0070766A"/>
    <w:rsid w:val="007103E0"/>
    <w:rsid w:val="0071084E"/>
    <w:rsid w:val="007114CC"/>
    <w:rsid w:val="00711C0D"/>
    <w:rsid w:val="007127C6"/>
    <w:rsid w:val="00712CDA"/>
    <w:rsid w:val="00713A9F"/>
    <w:rsid w:val="00714447"/>
    <w:rsid w:val="0071498D"/>
    <w:rsid w:val="00714CCA"/>
    <w:rsid w:val="00714E19"/>
    <w:rsid w:val="0071549C"/>
    <w:rsid w:val="007201FC"/>
    <w:rsid w:val="00720217"/>
    <w:rsid w:val="007203E9"/>
    <w:rsid w:val="007214AC"/>
    <w:rsid w:val="007216D6"/>
    <w:rsid w:val="0072292A"/>
    <w:rsid w:val="00722B7F"/>
    <w:rsid w:val="007230A5"/>
    <w:rsid w:val="00723A37"/>
    <w:rsid w:val="00724122"/>
    <w:rsid w:val="0072451B"/>
    <w:rsid w:val="0072473B"/>
    <w:rsid w:val="00724B3B"/>
    <w:rsid w:val="00725A35"/>
    <w:rsid w:val="00725CEA"/>
    <w:rsid w:val="00726906"/>
    <w:rsid w:val="00727092"/>
    <w:rsid w:val="007272BF"/>
    <w:rsid w:val="00727382"/>
    <w:rsid w:val="00727BB7"/>
    <w:rsid w:val="00727E55"/>
    <w:rsid w:val="00727EB7"/>
    <w:rsid w:val="007302DD"/>
    <w:rsid w:val="00730F1F"/>
    <w:rsid w:val="0073210A"/>
    <w:rsid w:val="007321A1"/>
    <w:rsid w:val="00732931"/>
    <w:rsid w:val="00732C5F"/>
    <w:rsid w:val="00732D94"/>
    <w:rsid w:val="00733117"/>
    <w:rsid w:val="007334B6"/>
    <w:rsid w:val="007336BB"/>
    <w:rsid w:val="007345B7"/>
    <w:rsid w:val="00734BC2"/>
    <w:rsid w:val="00734D03"/>
    <w:rsid w:val="00734FEA"/>
    <w:rsid w:val="00735063"/>
    <w:rsid w:val="00735B4C"/>
    <w:rsid w:val="00735C17"/>
    <w:rsid w:val="007365A6"/>
    <w:rsid w:val="00736F78"/>
    <w:rsid w:val="00737A24"/>
    <w:rsid w:val="00740170"/>
    <w:rsid w:val="007408BB"/>
    <w:rsid w:val="00740B6C"/>
    <w:rsid w:val="00741776"/>
    <w:rsid w:val="00741EBA"/>
    <w:rsid w:val="007425AA"/>
    <w:rsid w:val="007437C4"/>
    <w:rsid w:val="00743AA5"/>
    <w:rsid w:val="00744818"/>
    <w:rsid w:val="00744ADE"/>
    <w:rsid w:val="00744C8D"/>
    <w:rsid w:val="007456B2"/>
    <w:rsid w:val="00745A8C"/>
    <w:rsid w:val="00745B6A"/>
    <w:rsid w:val="00745F77"/>
    <w:rsid w:val="007460AF"/>
    <w:rsid w:val="00746574"/>
    <w:rsid w:val="00746922"/>
    <w:rsid w:val="007470E3"/>
    <w:rsid w:val="007471DD"/>
    <w:rsid w:val="00747220"/>
    <w:rsid w:val="0074786A"/>
    <w:rsid w:val="00747A7B"/>
    <w:rsid w:val="00747E00"/>
    <w:rsid w:val="00750B70"/>
    <w:rsid w:val="00751539"/>
    <w:rsid w:val="007516A5"/>
    <w:rsid w:val="00752732"/>
    <w:rsid w:val="007529F8"/>
    <w:rsid w:val="00752C07"/>
    <w:rsid w:val="00753852"/>
    <w:rsid w:val="00753F3F"/>
    <w:rsid w:val="007540DD"/>
    <w:rsid w:val="007548FA"/>
    <w:rsid w:val="00755191"/>
    <w:rsid w:val="00755CD0"/>
    <w:rsid w:val="00755EEF"/>
    <w:rsid w:val="007565F7"/>
    <w:rsid w:val="0075696C"/>
    <w:rsid w:val="00756A36"/>
    <w:rsid w:val="00756B4C"/>
    <w:rsid w:val="00757147"/>
    <w:rsid w:val="00757934"/>
    <w:rsid w:val="00760082"/>
    <w:rsid w:val="007604E9"/>
    <w:rsid w:val="00761294"/>
    <w:rsid w:val="0076130B"/>
    <w:rsid w:val="007613E6"/>
    <w:rsid w:val="00761811"/>
    <w:rsid w:val="00761A48"/>
    <w:rsid w:val="00762079"/>
    <w:rsid w:val="00762D27"/>
    <w:rsid w:val="00762E85"/>
    <w:rsid w:val="0076321B"/>
    <w:rsid w:val="0076374F"/>
    <w:rsid w:val="007638F3"/>
    <w:rsid w:val="00763A1E"/>
    <w:rsid w:val="00763A55"/>
    <w:rsid w:val="00763B0C"/>
    <w:rsid w:val="00763B1E"/>
    <w:rsid w:val="00764A5D"/>
    <w:rsid w:val="007656C6"/>
    <w:rsid w:val="0076575D"/>
    <w:rsid w:val="007657DD"/>
    <w:rsid w:val="00765A5D"/>
    <w:rsid w:val="00765B74"/>
    <w:rsid w:val="00765C32"/>
    <w:rsid w:val="00765C82"/>
    <w:rsid w:val="007669ED"/>
    <w:rsid w:val="0076773D"/>
    <w:rsid w:val="00767895"/>
    <w:rsid w:val="00767E0F"/>
    <w:rsid w:val="0077191C"/>
    <w:rsid w:val="00771A06"/>
    <w:rsid w:val="00771C94"/>
    <w:rsid w:val="0077293D"/>
    <w:rsid w:val="007729BE"/>
    <w:rsid w:val="00773493"/>
    <w:rsid w:val="00773AC2"/>
    <w:rsid w:val="00774577"/>
    <w:rsid w:val="00774A74"/>
    <w:rsid w:val="0077519E"/>
    <w:rsid w:val="00775231"/>
    <w:rsid w:val="00775368"/>
    <w:rsid w:val="00775BCB"/>
    <w:rsid w:val="00775C24"/>
    <w:rsid w:val="00775C9B"/>
    <w:rsid w:val="00776CBF"/>
    <w:rsid w:val="0077761F"/>
    <w:rsid w:val="0077777E"/>
    <w:rsid w:val="00777B17"/>
    <w:rsid w:val="00777F3C"/>
    <w:rsid w:val="0078038C"/>
    <w:rsid w:val="0078068C"/>
    <w:rsid w:val="007806EA"/>
    <w:rsid w:val="00780759"/>
    <w:rsid w:val="007807B6"/>
    <w:rsid w:val="00781220"/>
    <w:rsid w:val="00781A53"/>
    <w:rsid w:val="007827D6"/>
    <w:rsid w:val="007828B6"/>
    <w:rsid w:val="00782C63"/>
    <w:rsid w:val="00782C9E"/>
    <w:rsid w:val="00782D60"/>
    <w:rsid w:val="00783900"/>
    <w:rsid w:val="00783B31"/>
    <w:rsid w:val="00784031"/>
    <w:rsid w:val="00784F01"/>
    <w:rsid w:val="007850B4"/>
    <w:rsid w:val="007851D3"/>
    <w:rsid w:val="007855B0"/>
    <w:rsid w:val="007855C6"/>
    <w:rsid w:val="007857AE"/>
    <w:rsid w:val="00785BF3"/>
    <w:rsid w:val="00785E2A"/>
    <w:rsid w:val="00786FA1"/>
    <w:rsid w:val="00787F27"/>
    <w:rsid w:val="007905F2"/>
    <w:rsid w:val="00790756"/>
    <w:rsid w:val="00791DED"/>
    <w:rsid w:val="007923C2"/>
    <w:rsid w:val="00792768"/>
    <w:rsid w:val="007932E2"/>
    <w:rsid w:val="0079347F"/>
    <w:rsid w:val="007936F3"/>
    <w:rsid w:val="00793BBE"/>
    <w:rsid w:val="0079412B"/>
    <w:rsid w:val="0079491D"/>
    <w:rsid w:val="00795370"/>
    <w:rsid w:val="00795DC9"/>
    <w:rsid w:val="00796297"/>
    <w:rsid w:val="00796526"/>
    <w:rsid w:val="0079771A"/>
    <w:rsid w:val="007A05F8"/>
    <w:rsid w:val="007A0A8A"/>
    <w:rsid w:val="007A0A8F"/>
    <w:rsid w:val="007A0F92"/>
    <w:rsid w:val="007A1689"/>
    <w:rsid w:val="007A18C4"/>
    <w:rsid w:val="007A2C70"/>
    <w:rsid w:val="007A2CB4"/>
    <w:rsid w:val="007A313A"/>
    <w:rsid w:val="007A3458"/>
    <w:rsid w:val="007A394B"/>
    <w:rsid w:val="007A46B1"/>
    <w:rsid w:val="007A4815"/>
    <w:rsid w:val="007A495A"/>
    <w:rsid w:val="007A4991"/>
    <w:rsid w:val="007A53AE"/>
    <w:rsid w:val="007A579F"/>
    <w:rsid w:val="007A5C66"/>
    <w:rsid w:val="007A5D24"/>
    <w:rsid w:val="007A70B3"/>
    <w:rsid w:val="007A7610"/>
    <w:rsid w:val="007A7B4F"/>
    <w:rsid w:val="007A7C55"/>
    <w:rsid w:val="007A7DAC"/>
    <w:rsid w:val="007B0643"/>
    <w:rsid w:val="007B1DE1"/>
    <w:rsid w:val="007B25D0"/>
    <w:rsid w:val="007B2627"/>
    <w:rsid w:val="007B3669"/>
    <w:rsid w:val="007B4837"/>
    <w:rsid w:val="007B54A7"/>
    <w:rsid w:val="007B566B"/>
    <w:rsid w:val="007B5A5D"/>
    <w:rsid w:val="007B6791"/>
    <w:rsid w:val="007B6A14"/>
    <w:rsid w:val="007B76D5"/>
    <w:rsid w:val="007C011C"/>
    <w:rsid w:val="007C09B8"/>
    <w:rsid w:val="007C0A55"/>
    <w:rsid w:val="007C1AF7"/>
    <w:rsid w:val="007C1D30"/>
    <w:rsid w:val="007C33C2"/>
    <w:rsid w:val="007C384A"/>
    <w:rsid w:val="007C4314"/>
    <w:rsid w:val="007C4737"/>
    <w:rsid w:val="007C493C"/>
    <w:rsid w:val="007C5111"/>
    <w:rsid w:val="007C5B04"/>
    <w:rsid w:val="007C5D11"/>
    <w:rsid w:val="007C768D"/>
    <w:rsid w:val="007D0407"/>
    <w:rsid w:val="007D18EA"/>
    <w:rsid w:val="007D1CDC"/>
    <w:rsid w:val="007D1E02"/>
    <w:rsid w:val="007D2BA3"/>
    <w:rsid w:val="007D3336"/>
    <w:rsid w:val="007D36ED"/>
    <w:rsid w:val="007D3F98"/>
    <w:rsid w:val="007D4EF4"/>
    <w:rsid w:val="007D4FF2"/>
    <w:rsid w:val="007D526E"/>
    <w:rsid w:val="007D55F3"/>
    <w:rsid w:val="007D608C"/>
    <w:rsid w:val="007D6308"/>
    <w:rsid w:val="007D64AC"/>
    <w:rsid w:val="007D6B23"/>
    <w:rsid w:val="007D72EB"/>
    <w:rsid w:val="007D7710"/>
    <w:rsid w:val="007D78DE"/>
    <w:rsid w:val="007D7AF9"/>
    <w:rsid w:val="007D7CA9"/>
    <w:rsid w:val="007E050E"/>
    <w:rsid w:val="007E0BEC"/>
    <w:rsid w:val="007E14E3"/>
    <w:rsid w:val="007E22EA"/>
    <w:rsid w:val="007E24F3"/>
    <w:rsid w:val="007E2517"/>
    <w:rsid w:val="007E2525"/>
    <w:rsid w:val="007E37F3"/>
    <w:rsid w:val="007E38C9"/>
    <w:rsid w:val="007E3CA0"/>
    <w:rsid w:val="007E3CD5"/>
    <w:rsid w:val="007E3E1A"/>
    <w:rsid w:val="007E3EE9"/>
    <w:rsid w:val="007E460B"/>
    <w:rsid w:val="007E4CE7"/>
    <w:rsid w:val="007E6443"/>
    <w:rsid w:val="007E6B2E"/>
    <w:rsid w:val="007E6C4B"/>
    <w:rsid w:val="007E79DB"/>
    <w:rsid w:val="007E7B4E"/>
    <w:rsid w:val="007E7F12"/>
    <w:rsid w:val="007F1120"/>
    <w:rsid w:val="007F15E0"/>
    <w:rsid w:val="007F1B39"/>
    <w:rsid w:val="007F1FC2"/>
    <w:rsid w:val="007F2588"/>
    <w:rsid w:val="007F2B9B"/>
    <w:rsid w:val="007F2E0A"/>
    <w:rsid w:val="007F310D"/>
    <w:rsid w:val="007F3981"/>
    <w:rsid w:val="007F49FC"/>
    <w:rsid w:val="007F4A66"/>
    <w:rsid w:val="007F5311"/>
    <w:rsid w:val="007F6254"/>
    <w:rsid w:val="007F6FA0"/>
    <w:rsid w:val="007F7748"/>
    <w:rsid w:val="007F7B5C"/>
    <w:rsid w:val="007F7C86"/>
    <w:rsid w:val="00800436"/>
    <w:rsid w:val="00800DB0"/>
    <w:rsid w:val="00801074"/>
    <w:rsid w:val="00801D9B"/>
    <w:rsid w:val="0080220A"/>
    <w:rsid w:val="00802525"/>
    <w:rsid w:val="00802C13"/>
    <w:rsid w:val="00802D3D"/>
    <w:rsid w:val="00803C8E"/>
    <w:rsid w:val="00803DBF"/>
    <w:rsid w:val="00804242"/>
    <w:rsid w:val="00804983"/>
    <w:rsid w:val="00804A39"/>
    <w:rsid w:val="00804CE1"/>
    <w:rsid w:val="008054AE"/>
    <w:rsid w:val="00805572"/>
    <w:rsid w:val="00805B4C"/>
    <w:rsid w:val="00806E20"/>
    <w:rsid w:val="008075B1"/>
    <w:rsid w:val="008078F5"/>
    <w:rsid w:val="00807F4E"/>
    <w:rsid w:val="00807FD1"/>
    <w:rsid w:val="00811ABB"/>
    <w:rsid w:val="00811BC8"/>
    <w:rsid w:val="0081207A"/>
    <w:rsid w:val="008124AC"/>
    <w:rsid w:val="008127AA"/>
    <w:rsid w:val="0081298C"/>
    <w:rsid w:val="00812D5E"/>
    <w:rsid w:val="008134C2"/>
    <w:rsid w:val="0081422F"/>
    <w:rsid w:val="008142CD"/>
    <w:rsid w:val="00814328"/>
    <w:rsid w:val="00814890"/>
    <w:rsid w:val="00814952"/>
    <w:rsid w:val="008152B7"/>
    <w:rsid w:val="00815BF4"/>
    <w:rsid w:val="00816A81"/>
    <w:rsid w:val="008176F7"/>
    <w:rsid w:val="00817A4E"/>
    <w:rsid w:val="00817AC0"/>
    <w:rsid w:val="008206C8"/>
    <w:rsid w:val="00820DB4"/>
    <w:rsid w:val="00821131"/>
    <w:rsid w:val="00821F0A"/>
    <w:rsid w:val="00822AC7"/>
    <w:rsid w:val="00822E86"/>
    <w:rsid w:val="0082355A"/>
    <w:rsid w:val="00823F03"/>
    <w:rsid w:val="0082446A"/>
    <w:rsid w:val="00824866"/>
    <w:rsid w:val="00824F80"/>
    <w:rsid w:val="00825278"/>
    <w:rsid w:val="008252EF"/>
    <w:rsid w:val="008260F7"/>
    <w:rsid w:val="008263CF"/>
    <w:rsid w:val="00826AF2"/>
    <w:rsid w:val="00827E58"/>
    <w:rsid w:val="008319DC"/>
    <w:rsid w:val="00831C05"/>
    <w:rsid w:val="00831C6C"/>
    <w:rsid w:val="00831CEB"/>
    <w:rsid w:val="00832245"/>
    <w:rsid w:val="0083310B"/>
    <w:rsid w:val="0083354A"/>
    <w:rsid w:val="0083394D"/>
    <w:rsid w:val="00834077"/>
    <w:rsid w:val="00834DA5"/>
    <w:rsid w:val="00835A89"/>
    <w:rsid w:val="008360B5"/>
    <w:rsid w:val="00836BD4"/>
    <w:rsid w:val="00836F14"/>
    <w:rsid w:val="00837C00"/>
    <w:rsid w:val="00840165"/>
    <w:rsid w:val="00840362"/>
    <w:rsid w:val="00840B52"/>
    <w:rsid w:val="00840FDD"/>
    <w:rsid w:val="00841140"/>
    <w:rsid w:val="008416E5"/>
    <w:rsid w:val="00841905"/>
    <w:rsid w:val="00842411"/>
    <w:rsid w:val="008426FF"/>
    <w:rsid w:val="00843964"/>
    <w:rsid w:val="00843CD0"/>
    <w:rsid w:val="00844759"/>
    <w:rsid w:val="00844915"/>
    <w:rsid w:val="00844A2D"/>
    <w:rsid w:val="008457D3"/>
    <w:rsid w:val="00845A2B"/>
    <w:rsid w:val="00847D6A"/>
    <w:rsid w:val="00847F38"/>
    <w:rsid w:val="00850718"/>
    <w:rsid w:val="0085093C"/>
    <w:rsid w:val="00850A3B"/>
    <w:rsid w:val="008512BD"/>
    <w:rsid w:val="00851581"/>
    <w:rsid w:val="0085158A"/>
    <w:rsid w:val="008531BA"/>
    <w:rsid w:val="008538E2"/>
    <w:rsid w:val="00853912"/>
    <w:rsid w:val="00854497"/>
    <w:rsid w:val="00854640"/>
    <w:rsid w:val="00854B4F"/>
    <w:rsid w:val="00854D63"/>
    <w:rsid w:val="0085590D"/>
    <w:rsid w:val="0085607E"/>
    <w:rsid w:val="00856137"/>
    <w:rsid w:val="00857AFF"/>
    <w:rsid w:val="00860582"/>
    <w:rsid w:val="00860A04"/>
    <w:rsid w:val="00861090"/>
    <w:rsid w:val="008610A0"/>
    <w:rsid w:val="00861ABF"/>
    <w:rsid w:val="008628DF"/>
    <w:rsid w:val="0086300E"/>
    <w:rsid w:val="008630B8"/>
    <w:rsid w:val="00863984"/>
    <w:rsid w:val="00863C59"/>
    <w:rsid w:val="00864404"/>
    <w:rsid w:val="0086459F"/>
    <w:rsid w:val="008648E1"/>
    <w:rsid w:val="008649B9"/>
    <w:rsid w:val="00864AB0"/>
    <w:rsid w:val="00865248"/>
    <w:rsid w:val="0086578B"/>
    <w:rsid w:val="0086603C"/>
    <w:rsid w:val="00866228"/>
    <w:rsid w:val="00866BA5"/>
    <w:rsid w:val="008678C0"/>
    <w:rsid w:val="00870309"/>
    <w:rsid w:val="0087045B"/>
    <w:rsid w:val="00871D0B"/>
    <w:rsid w:val="00871D2B"/>
    <w:rsid w:val="00871E26"/>
    <w:rsid w:val="00872FAE"/>
    <w:rsid w:val="00872FF5"/>
    <w:rsid w:val="0087305C"/>
    <w:rsid w:val="00873A72"/>
    <w:rsid w:val="00874AE8"/>
    <w:rsid w:val="008754A7"/>
    <w:rsid w:val="0087602B"/>
    <w:rsid w:val="00877F2C"/>
    <w:rsid w:val="00880B38"/>
    <w:rsid w:val="00881038"/>
    <w:rsid w:val="00881655"/>
    <w:rsid w:val="00881C72"/>
    <w:rsid w:val="0088235D"/>
    <w:rsid w:val="00882A84"/>
    <w:rsid w:val="00883071"/>
    <w:rsid w:val="008831B6"/>
    <w:rsid w:val="0088381B"/>
    <w:rsid w:val="00883A2C"/>
    <w:rsid w:val="00884A7F"/>
    <w:rsid w:val="008855AF"/>
    <w:rsid w:val="00885641"/>
    <w:rsid w:val="00886227"/>
    <w:rsid w:val="008862CA"/>
    <w:rsid w:val="00887381"/>
    <w:rsid w:val="008902A8"/>
    <w:rsid w:val="00890E8B"/>
    <w:rsid w:val="0089177B"/>
    <w:rsid w:val="00891BF1"/>
    <w:rsid w:val="00891E15"/>
    <w:rsid w:val="0089269C"/>
    <w:rsid w:val="00892C17"/>
    <w:rsid w:val="00892F2C"/>
    <w:rsid w:val="00892F47"/>
    <w:rsid w:val="008937C0"/>
    <w:rsid w:val="0089436F"/>
    <w:rsid w:val="008946E8"/>
    <w:rsid w:val="00894A9A"/>
    <w:rsid w:val="00894D7A"/>
    <w:rsid w:val="00895248"/>
    <w:rsid w:val="008952F5"/>
    <w:rsid w:val="008963BF"/>
    <w:rsid w:val="00896A3E"/>
    <w:rsid w:val="00896D91"/>
    <w:rsid w:val="00896EAA"/>
    <w:rsid w:val="00896F21"/>
    <w:rsid w:val="008974C1"/>
    <w:rsid w:val="008977BB"/>
    <w:rsid w:val="00897D58"/>
    <w:rsid w:val="00897FFE"/>
    <w:rsid w:val="008A02A6"/>
    <w:rsid w:val="008A102A"/>
    <w:rsid w:val="008A113C"/>
    <w:rsid w:val="008A13FE"/>
    <w:rsid w:val="008A1519"/>
    <w:rsid w:val="008A1A72"/>
    <w:rsid w:val="008A314F"/>
    <w:rsid w:val="008A3464"/>
    <w:rsid w:val="008A36F4"/>
    <w:rsid w:val="008A421E"/>
    <w:rsid w:val="008A4CF9"/>
    <w:rsid w:val="008A5367"/>
    <w:rsid w:val="008A5545"/>
    <w:rsid w:val="008A5748"/>
    <w:rsid w:val="008A6D0F"/>
    <w:rsid w:val="008A7179"/>
    <w:rsid w:val="008A7197"/>
    <w:rsid w:val="008A7E9C"/>
    <w:rsid w:val="008B0825"/>
    <w:rsid w:val="008B0B5C"/>
    <w:rsid w:val="008B0CB8"/>
    <w:rsid w:val="008B1A12"/>
    <w:rsid w:val="008B1F74"/>
    <w:rsid w:val="008B229C"/>
    <w:rsid w:val="008B2764"/>
    <w:rsid w:val="008B288F"/>
    <w:rsid w:val="008B2F2F"/>
    <w:rsid w:val="008B3416"/>
    <w:rsid w:val="008B359B"/>
    <w:rsid w:val="008B3863"/>
    <w:rsid w:val="008B3F51"/>
    <w:rsid w:val="008B44B5"/>
    <w:rsid w:val="008B5B81"/>
    <w:rsid w:val="008B6987"/>
    <w:rsid w:val="008B6D6D"/>
    <w:rsid w:val="008B6F84"/>
    <w:rsid w:val="008B726B"/>
    <w:rsid w:val="008B76A4"/>
    <w:rsid w:val="008B7793"/>
    <w:rsid w:val="008B79A8"/>
    <w:rsid w:val="008B7C27"/>
    <w:rsid w:val="008C001B"/>
    <w:rsid w:val="008C0490"/>
    <w:rsid w:val="008C0AE2"/>
    <w:rsid w:val="008C16FA"/>
    <w:rsid w:val="008C1EE2"/>
    <w:rsid w:val="008C2013"/>
    <w:rsid w:val="008C33C1"/>
    <w:rsid w:val="008C3B3E"/>
    <w:rsid w:val="008C4293"/>
    <w:rsid w:val="008C43D3"/>
    <w:rsid w:val="008C48FA"/>
    <w:rsid w:val="008C4F24"/>
    <w:rsid w:val="008C53C0"/>
    <w:rsid w:val="008C60F7"/>
    <w:rsid w:val="008C64BE"/>
    <w:rsid w:val="008C6EF8"/>
    <w:rsid w:val="008C7968"/>
    <w:rsid w:val="008D0038"/>
    <w:rsid w:val="008D05FB"/>
    <w:rsid w:val="008D07CD"/>
    <w:rsid w:val="008D0D6F"/>
    <w:rsid w:val="008D157C"/>
    <w:rsid w:val="008D16C4"/>
    <w:rsid w:val="008D1A95"/>
    <w:rsid w:val="008D1CB0"/>
    <w:rsid w:val="008D1D0E"/>
    <w:rsid w:val="008D2C67"/>
    <w:rsid w:val="008D2DB2"/>
    <w:rsid w:val="008D329B"/>
    <w:rsid w:val="008D40BB"/>
    <w:rsid w:val="008D494B"/>
    <w:rsid w:val="008D5C31"/>
    <w:rsid w:val="008D5DA6"/>
    <w:rsid w:val="008D657D"/>
    <w:rsid w:val="008D65B1"/>
    <w:rsid w:val="008D6DB9"/>
    <w:rsid w:val="008E00D6"/>
    <w:rsid w:val="008E0123"/>
    <w:rsid w:val="008E0527"/>
    <w:rsid w:val="008E0B4F"/>
    <w:rsid w:val="008E0D2D"/>
    <w:rsid w:val="008E0D8B"/>
    <w:rsid w:val="008E0FF7"/>
    <w:rsid w:val="008E1111"/>
    <w:rsid w:val="008E11DF"/>
    <w:rsid w:val="008E1855"/>
    <w:rsid w:val="008E1904"/>
    <w:rsid w:val="008E1E1D"/>
    <w:rsid w:val="008E1EDE"/>
    <w:rsid w:val="008E1EE8"/>
    <w:rsid w:val="008E2325"/>
    <w:rsid w:val="008E2B5A"/>
    <w:rsid w:val="008E35CD"/>
    <w:rsid w:val="008E3C96"/>
    <w:rsid w:val="008E413E"/>
    <w:rsid w:val="008E4976"/>
    <w:rsid w:val="008E583E"/>
    <w:rsid w:val="008E5C4B"/>
    <w:rsid w:val="008E5ED3"/>
    <w:rsid w:val="008E5F8A"/>
    <w:rsid w:val="008E6667"/>
    <w:rsid w:val="008E6815"/>
    <w:rsid w:val="008E68CD"/>
    <w:rsid w:val="008E7320"/>
    <w:rsid w:val="008E782B"/>
    <w:rsid w:val="008E786B"/>
    <w:rsid w:val="008E79B0"/>
    <w:rsid w:val="008E7DB5"/>
    <w:rsid w:val="008F1A7D"/>
    <w:rsid w:val="008F2697"/>
    <w:rsid w:val="008F3084"/>
    <w:rsid w:val="008F3B55"/>
    <w:rsid w:val="008F3FD1"/>
    <w:rsid w:val="008F442B"/>
    <w:rsid w:val="008F4A1C"/>
    <w:rsid w:val="008F51B8"/>
    <w:rsid w:val="008F5E6C"/>
    <w:rsid w:val="008F6629"/>
    <w:rsid w:val="008F67C5"/>
    <w:rsid w:val="008F67E4"/>
    <w:rsid w:val="009007EF"/>
    <w:rsid w:val="00900EDA"/>
    <w:rsid w:val="009019D4"/>
    <w:rsid w:val="00902EC2"/>
    <w:rsid w:val="00902F46"/>
    <w:rsid w:val="00902FD6"/>
    <w:rsid w:val="00903952"/>
    <w:rsid w:val="00904682"/>
    <w:rsid w:val="00904A1C"/>
    <w:rsid w:val="00904BCB"/>
    <w:rsid w:val="00905B46"/>
    <w:rsid w:val="00905FFB"/>
    <w:rsid w:val="00906073"/>
    <w:rsid w:val="009064FE"/>
    <w:rsid w:val="0090684F"/>
    <w:rsid w:val="00906B5D"/>
    <w:rsid w:val="00907D0F"/>
    <w:rsid w:val="00911325"/>
    <w:rsid w:val="0091306D"/>
    <w:rsid w:val="00913E9C"/>
    <w:rsid w:val="00914355"/>
    <w:rsid w:val="00915203"/>
    <w:rsid w:val="00915275"/>
    <w:rsid w:val="00916D46"/>
    <w:rsid w:val="0091784A"/>
    <w:rsid w:val="009178AC"/>
    <w:rsid w:val="00920844"/>
    <w:rsid w:val="009209BE"/>
    <w:rsid w:val="00922CEE"/>
    <w:rsid w:val="00922D68"/>
    <w:rsid w:val="00925E93"/>
    <w:rsid w:val="00926098"/>
    <w:rsid w:val="0092621A"/>
    <w:rsid w:val="00926356"/>
    <w:rsid w:val="009264AF"/>
    <w:rsid w:val="009272B5"/>
    <w:rsid w:val="009277EB"/>
    <w:rsid w:val="009309CD"/>
    <w:rsid w:val="00931364"/>
    <w:rsid w:val="009315A8"/>
    <w:rsid w:val="00931ABD"/>
    <w:rsid w:val="0093208E"/>
    <w:rsid w:val="0093209A"/>
    <w:rsid w:val="009337A7"/>
    <w:rsid w:val="009339DD"/>
    <w:rsid w:val="00933E59"/>
    <w:rsid w:val="00934A13"/>
    <w:rsid w:val="00934B16"/>
    <w:rsid w:val="0093585C"/>
    <w:rsid w:val="009358A2"/>
    <w:rsid w:val="0093592D"/>
    <w:rsid w:val="00935CC0"/>
    <w:rsid w:val="00937278"/>
    <w:rsid w:val="00937964"/>
    <w:rsid w:val="00937ADA"/>
    <w:rsid w:val="00940EB7"/>
    <w:rsid w:val="009411D2"/>
    <w:rsid w:val="009423CB"/>
    <w:rsid w:val="00942CC4"/>
    <w:rsid w:val="00942D42"/>
    <w:rsid w:val="00942FB3"/>
    <w:rsid w:val="009435E7"/>
    <w:rsid w:val="00943762"/>
    <w:rsid w:val="009438A8"/>
    <w:rsid w:val="00943978"/>
    <w:rsid w:val="00943AF5"/>
    <w:rsid w:val="009446DA"/>
    <w:rsid w:val="009448FA"/>
    <w:rsid w:val="00944994"/>
    <w:rsid w:val="009449A0"/>
    <w:rsid w:val="00944F54"/>
    <w:rsid w:val="00945272"/>
    <w:rsid w:val="009452D0"/>
    <w:rsid w:val="00945DD0"/>
    <w:rsid w:val="009465A9"/>
    <w:rsid w:val="00947266"/>
    <w:rsid w:val="009504AC"/>
    <w:rsid w:val="00950CD0"/>
    <w:rsid w:val="00951219"/>
    <w:rsid w:val="009517E9"/>
    <w:rsid w:val="00951B71"/>
    <w:rsid w:val="00951EA4"/>
    <w:rsid w:val="00952234"/>
    <w:rsid w:val="0095244D"/>
    <w:rsid w:val="00952960"/>
    <w:rsid w:val="00952EF6"/>
    <w:rsid w:val="0095395B"/>
    <w:rsid w:val="00953E3A"/>
    <w:rsid w:val="00954416"/>
    <w:rsid w:val="0095463B"/>
    <w:rsid w:val="00954C00"/>
    <w:rsid w:val="00954CA7"/>
    <w:rsid w:val="00954D14"/>
    <w:rsid w:val="00954FB9"/>
    <w:rsid w:val="00955557"/>
    <w:rsid w:val="00955B2B"/>
    <w:rsid w:val="0095636C"/>
    <w:rsid w:val="00956B0F"/>
    <w:rsid w:val="0095739F"/>
    <w:rsid w:val="0095747C"/>
    <w:rsid w:val="00957853"/>
    <w:rsid w:val="00957C71"/>
    <w:rsid w:val="00960610"/>
    <w:rsid w:val="009608D2"/>
    <w:rsid w:val="00960A16"/>
    <w:rsid w:val="00960B5D"/>
    <w:rsid w:val="00960D72"/>
    <w:rsid w:val="00960D79"/>
    <w:rsid w:val="009610B4"/>
    <w:rsid w:val="00961228"/>
    <w:rsid w:val="009620C0"/>
    <w:rsid w:val="0096340F"/>
    <w:rsid w:val="00964896"/>
    <w:rsid w:val="00965065"/>
    <w:rsid w:val="0096506B"/>
    <w:rsid w:val="009650A9"/>
    <w:rsid w:val="00965641"/>
    <w:rsid w:val="009661B8"/>
    <w:rsid w:val="00966434"/>
    <w:rsid w:val="00966606"/>
    <w:rsid w:val="00966666"/>
    <w:rsid w:val="00967A38"/>
    <w:rsid w:val="00967B2E"/>
    <w:rsid w:val="00970266"/>
    <w:rsid w:val="009708A8"/>
    <w:rsid w:val="0097141A"/>
    <w:rsid w:val="0097181E"/>
    <w:rsid w:val="009720A2"/>
    <w:rsid w:val="009729C6"/>
    <w:rsid w:val="009742DF"/>
    <w:rsid w:val="009747D2"/>
    <w:rsid w:val="00974A6B"/>
    <w:rsid w:val="00974EF5"/>
    <w:rsid w:val="00975E28"/>
    <w:rsid w:val="0097640B"/>
    <w:rsid w:val="0097673E"/>
    <w:rsid w:val="0097693A"/>
    <w:rsid w:val="0097702C"/>
    <w:rsid w:val="00977171"/>
    <w:rsid w:val="00977207"/>
    <w:rsid w:val="00980A40"/>
    <w:rsid w:val="009811E1"/>
    <w:rsid w:val="00981881"/>
    <w:rsid w:val="00981EA4"/>
    <w:rsid w:val="00982480"/>
    <w:rsid w:val="00984F52"/>
    <w:rsid w:val="00985713"/>
    <w:rsid w:val="00985E7A"/>
    <w:rsid w:val="00986324"/>
    <w:rsid w:val="00986474"/>
    <w:rsid w:val="00986F27"/>
    <w:rsid w:val="009874B6"/>
    <w:rsid w:val="00990ECB"/>
    <w:rsid w:val="00991183"/>
    <w:rsid w:val="009912FA"/>
    <w:rsid w:val="009914AE"/>
    <w:rsid w:val="00992B6E"/>
    <w:rsid w:val="00992C39"/>
    <w:rsid w:val="00993647"/>
    <w:rsid w:val="00993B7E"/>
    <w:rsid w:val="00993F2F"/>
    <w:rsid w:val="00993FA3"/>
    <w:rsid w:val="009949A6"/>
    <w:rsid w:val="00995589"/>
    <w:rsid w:val="00995BF0"/>
    <w:rsid w:val="009962D5"/>
    <w:rsid w:val="0099655B"/>
    <w:rsid w:val="009966E6"/>
    <w:rsid w:val="00997456"/>
    <w:rsid w:val="00997AA9"/>
    <w:rsid w:val="009A0B76"/>
    <w:rsid w:val="009A1540"/>
    <w:rsid w:val="009A169F"/>
    <w:rsid w:val="009A1C00"/>
    <w:rsid w:val="009A23D0"/>
    <w:rsid w:val="009A26DE"/>
    <w:rsid w:val="009A329E"/>
    <w:rsid w:val="009A4C04"/>
    <w:rsid w:val="009A53A8"/>
    <w:rsid w:val="009A6579"/>
    <w:rsid w:val="009A672B"/>
    <w:rsid w:val="009A6785"/>
    <w:rsid w:val="009A684F"/>
    <w:rsid w:val="009A6F0D"/>
    <w:rsid w:val="009A7C9E"/>
    <w:rsid w:val="009A7EA2"/>
    <w:rsid w:val="009B012B"/>
    <w:rsid w:val="009B1EED"/>
    <w:rsid w:val="009B3604"/>
    <w:rsid w:val="009B3883"/>
    <w:rsid w:val="009B3EC5"/>
    <w:rsid w:val="009B4F57"/>
    <w:rsid w:val="009B5034"/>
    <w:rsid w:val="009B5843"/>
    <w:rsid w:val="009B5B3D"/>
    <w:rsid w:val="009B5DB1"/>
    <w:rsid w:val="009B6567"/>
    <w:rsid w:val="009B6572"/>
    <w:rsid w:val="009B671F"/>
    <w:rsid w:val="009B7AAF"/>
    <w:rsid w:val="009C07AB"/>
    <w:rsid w:val="009C1234"/>
    <w:rsid w:val="009C1CF4"/>
    <w:rsid w:val="009C277F"/>
    <w:rsid w:val="009C2910"/>
    <w:rsid w:val="009C4A5A"/>
    <w:rsid w:val="009C4C7C"/>
    <w:rsid w:val="009C5EA8"/>
    <w:rsid w:val="009C5F1D"/>
    <w:rsid w:val="009C63B0"/>
    <w:rsid w:val="009C6F17"/>
    <w:rsid w:val="009D03F3"/>
    <w:rsid w:val="009D0488"/>
    <w:rsid w:val="009D0EDD"/>
    <w:rsid w:val="009D10C4"/>
    <w:rsid w:val="009D1938"/>
    <w:rsid w:val="009D1C8A"/>
    <w:rsid w:val="009D1DC8"/>
    <w:rsid w:val="009D25CD"/>
    <w:rsid w:val="009D2B25"/>
    <w:rsid w:val="009D31B2"/>
    <w:rsid w:val="009D439F"/>
    <w:rsid w:val="009D5926"/>
    <w:rsid w:val="009D6A6D"/>
    <w:rsid w:val="009E0188"/>
    <w:rsid w:val="009E0927"/>
    <w:rsid w:val="009E0FCF"/>
    <w:rsid w:val="009E1CB8"/>
    <w:rsid w:val="009E27EF"/>
    <w:rsid w:val="009E29C9"/>
    <w:rsid w:val="009E2A50"/>
    <w:rsid w:val="009E2B3C"/>
    <w:rsid w:val="009E2CD0"/>
    <w:rsid w:val="009E3540"/>
    <w:rsid w:val="009E379E"/>
    <w:rsid w:val="009E432F"/>
    <w:rsid w:val="009E5CC4"/>
    <w:rsid w:val="009E6E62"/>
    <w:rsid w:val="009F00F3"/>
    <w:rsid w:val="009F14D9"/>
    <w:rsid w:val="009F188D"/>
    <w:rsid w:val="009F2852"/>
    <w:rsid w:val="009F28AA"/>
    <w:rsid w:val="009F2F1A"/>
    <w:rsid w:val="009F3E79"/>
    <w:rsid w:val="009F4112"/>
    <w:rsid w:val="009F4229"/>
    <w:rsid w:val="009F476A"/>
    <w:rsid w:val="009F4A52"/>
    <w:rsid w:val="009F5914"/>
    <w:rsid w:val="009F5CED"/>
    <w:rsid w:val="009F6246"/>
    <w:rsid w:val="009F6C12"/>
    <w:rsid w:val="009F7289"/>
    <w:rsid w:val="009F7EDC"/>
    <w:rsid w:val="00A01400"/>
    <w:rsid w:val="00A01D7D"/>
    <w:rsid w:val="00A021D2"/>
    <w:rsid w:val="00A031FE"/>
    <w:rsid w:val="00A04256"/>
    <w:rsid w:val="00A07B88"/>
    <w:rsid w:val="00A10891"/>
    <w:rsid w:val="00A108BB"/>
    <w:rsid w:val="00A10EFE"/>
    <w:rsid w:val="00A12470"/>
    <w:rsid w:val="00A12BD4"/>
    <w:rsid w:val="00A135F9"/>
    <w:rsid w:val="00A13EAB"/>
    <w:rsid w:val="00A1418C"/>
    <w:rsid w:val="00A14CA1"/>
    <w:rsid w:val="00A15A6A"/>
    <w:rsid w:val="00A15FAF"/>
    <w:rsid w:val="00A16561"/>
    <w:rsid w:val="00A17561"/>
    <w:rsid w:val="00A17975"/>
    <w:rsid w:val="00A17BF1"/>
    <w:rsid w:val="00A17C29"/>
    <w:rsid w:val="00A20A36"/>
    <w:rsid w:val="00A21B31"/>
    <w:rsid w:val="00A22265"/>
    <w:rsid w:val="00A22300"/>
    <w:rsid w:val="00A2432F"/>
    <w:rsid w:val="00A243D6"/>
    <w:rsid w:val="00A24D33"/>
    <w:rsid w:val="00A2524F"/>
    <w:rsid w:val="00A252AF"/>
    <w:rsid w:val="00A25879"/>
    <w:rsid w:val="00A25B78"/>
    <w:rsid w:val="00A261A2"/>
    <w:rsid w:val="00A26337"/>
    <w:rsid w:val="00A26584"/>
    <w:rsid w:val="00A26F5A"/>
    <w:rsid w:val="00A27271"/>
    <w:rsid w:val="00A27585"/>
    <w:rsid w:val="00A27B19"/>
    <w:rsid w:val="00A27B5C"/>
    <w:rsid w:val="00A27F4C"/>
    <w:rsid w:val="00A30628"/>
    <w:rsid w:val="00A30749"/>
    <w:rsid w:val="00A30D3F"/>
    <w:rsid w:val="00A31110"/>
    <w:rsid w:val="00A31403"/>
    <w:rsid w:val="00A3254F"/>
    <w:rsid w:val="00A339CF"/>
    <w:rsid w:val="00A33A99"/>
    <w:rsid w:val="00A34330"/>
    <w:rsid w:val="00A34A20"/>
    <w:rsid w:val="00A356F5"/>
    <w:rsid w:val="00A35908"/>
    <w:rsid w:val="00A359CF"/>
    <w:rsid w:val="00A36AA2"/>
    <w:rsid w:val="00A3784B"/>
    <w:rsid w:val="00A409F4"/>
    <w:rsid w:val="00A41DE9"/>
    <w:rsid w:val="00A4326E"/>
    <w:rsid w:val="00A432F3"/>
    <w:rsid w:val="00A44679"/>
    <w:rsid w:val="00A44D03"/>
    <w:rsid w:val="00A44FEE"/>
    <w:rsid w:val="00A451C5"/>
    <w:rsid w:val="00A458B1"/>
    <w:rsid w:val="00A45C78"/>
    <w:rsid w:val="00A462C7"/>
    <w:rsid w:val="00A46BBC"/>
    <w:rsid w:val="00A47172"/>
    <w:rsid w:val="00A477DD"/>
    <w:rsid w:val="00A50377"/>
    <w:rsid w:val="00A50AEB"/>
    <w:rsid w:val="00A51255"/>
    <w:rsid w:val="00A51C3F"/>
    <w:rsid w:val="00A5297B"/>
    <w:rsid w:val="00A539A9"/>
    <w:rsid w:val="00A549EF"/>
    <w:rsid w:val="00A54A0F"/>
    <w:rsid w:val="00A54CD2"/>
    <w:rsid w:val="00A55043"/>
    <w:rsid w:val="00A5536D"/>
    <w:rsid w:val="00A5552D"/>
    <w:rsid w:val="00A555C9"/>
    <w:rsid w:val="00A56824"/>
    <w:rsid w:val="00A61355"/>
    <w:rsid w:val="00A625CE"/>
    <w:rsid w:val="00A62BE5"/>
    <w:rsid w:val="00A62DC2"/>
    <w:rsid w:val="00A62ED1"/>
    <w:rsid w:val="00A63897"/>
    <w:rsid w:val="00A638E8"/>
    <w:rsid w:val="00A63FAC"/>
    <w:rsid w:val="00A64076"/>
    <w:rsid w:val="00A648FE"/>
    <w:rsid w:val="00A649CB"/>
    <w:rsid w:val="00A65B41"/>
    <w:rsid w:val="00A65D6D"/>
    <w:rsid w:val="00A6725B"/>
    <w:rsid w:val="00A67A4A"/>
    <w:rsid w:val="00A704DB"/>
    <w:rsid w:val="00A70502"/>
    <w:rsid w:val="00A70B81"/>
    <w:rsid w:val="00A70BB5"/>
    <w:rsid w:val="00A70C67"/>
    <w:rsid w:val="00A71003"/>
    <w:rsid w:val="00A746D0"/>
    <w:rsid w:val="00A74719"/>
    <w:rsid w:val="00A747C0"/>
    <w:rsid w:val="00A74D99"/>
    <w:rsid w:val="00A74F99"/>
    <w:rsid w:val="00A76927"/>
    <w:rsid w:val="00A77B7D"/>
    <w:rsid w:val="00A806C3"/>
    <w:rsid w:val="00A80893"/>
    <w:rsid w:val="00A810C0"/>
    <w:rsid w:val="00A81195"/>
    <w:rsid w:val="00A84122"/>
    <w:rsid w:val="00A845E6"/>
    <w:rsid w:val="00A864CA"/>
    <w:rsid w:val="00A869B7"/>
    <w:rsid w:val="00A86CDB"/>
    <w:rsid w:val="00A8797F"/>
    <w:rsid w:val="00A87E93"/>
    <w:rsid w:val="00A90C68"/>
    <w:rsid w:val="00A91071"/>
    <w:rsid w:val="00A91269"/>
    <w:rsid w:val="00A91621"/>
    <w:rsid w:val="00A91CB1"/>
    <w:rsid w:val="00A91E25"/>
    <w:rsid w:val="00A91F0E"/>
    <w:rsid w:val="00A93364"/>
    <w:rsid w:val="00A94A76"/>
    <w:rsid w:val="00A94B2A"/>
    <w:rsid w:val="00A9532D"/>
    <w:rsid w:val="00A9552D"/>
    <w:rsid w:val="00A955B8"/>
    <w:rsid w:val="00A96CCB"/>
    <w:rsid w:val="00A96D1D"/>
    <w:rsid w:val="00A97135"/>
    <w:rsid w:val="00A97A12"/>
    <w:rsid w:val="00A97B4C"/>
    <w:rsid w:val="00AA04EE"/>
    <w:rsid w:val="00AA08DF"/>
    <w:rsid w:val="00AA0B91"/>
    <w:rsid w:val="00AA1C5C"/>
    <w:rsid w:val="00AA1DF1"/>
    <w:rsid w:val="00AA1F12"/>
    <w:rsid w:val="00AA21AA"/>
    <w:rsid w:val="00AA2A98"/>
    <w:rsid w:val="00AA3FD4"/>
    <w:rsid w:val="00AA441C"/>
    <w:rsid w:val="00AA4C62"/>
    <w:rsid w:val="00AA5107"/>
    <w:rsid w:val="00AA5326"/>
    <w:rsid w:val="00AA6F24"/>
    <w:rsid w:val="00AA6F30"/>
    <w:rsid w:val="00AA7132"/>
    <w:rsid w:val="00AA71B8"/>
    <w:rsid w:val="00AA7279"/>
    <w:rsid w:val="00AB00E8"/>
    <w:rsid w:val="00AB087E"/>
    <w:rsid w:val="00AB0ECA"/>
    <w:rsid w:val="00AB0F66"/>
    <w:rsid w:val="00AB18D1"/>
    <w:rsid w:val="00AB1B59"/>
    <w:rsid w:val="00AB214A"/>
    <w:rsid w:val="00AB3AE4"/>
    <w:rsid w:val="00AB4AA0"/>
    <w:rsid w:val="00AB5292"/>
    <w:rsid w:val="00AB6912"/>
    <w:rsid w:val="00AB6EFE"/>
    <w:rsid w:val="00AB729E"/>
    <w:rsid w:val="00AC0412"/>
    <w:rsid w:val="00AC0600"/>
    <w:rsid w:val="00AC09A4"/>
    <w:rsid w:val="00AC0CF4"/>
    <w:rsid w:val="00AC2407"/>
    <w:rsid w:val="00AC494D"/>
    <w:rsid w:val="00AC4B5D"/>
    <w:rsid w:val="00AC6179"/>
    <w:rsid w:val="00AC7559"/>
    <w:rsid w:val="00AC7667"/>
    <w:rsid w:val="00AD0CB6"/>
    <w:rsid w:val="00AD0EF7"/>
    <w:rsid w:val="00AD10B1"/>
    <w:rsid w:val="00AD1874"/>
    <w:rsid w:val="00AD257D"/>
    <w:rsid w:val="00AD2ABF"/>
    <w:rsid w:val="00AD2AEE"/>
    <w:rsid w:val="00AD4469"/>
    <w:rsid w:val="00AD4775"/>
    <w:rsid w:val="00AD5342"/>
    <w:rsid w:val="00AD75B1"/>
    <w:rsid w:val="00AE0887"/>
    <w:rsid w:val="00AE105B"/>
    <w:rsid w:val="00AE124D"/>
    <w:rsid w:val="00AE1467"/>
    <w:rsid w:val="00AE1B89"/>
    <w:rsid w:val="00AE28E9"/>
    <w:rsid w:val="00AE28EE"/>
    <w:rsid w:val="00AE387D"/>
    <w:rsid w:val="00AE3DFC"/>
    <w:rsid w:val="00AE3F5D"/>
    <w:rsid w:val="00AE4017"/>
    <w:rsid w:val="00AE422F"/>
    <w:rsid w:val="00AE52D9"/>
    <w:rsid w:val="00AE6F62"/>
    <w:rsid w:val="00AE7D2F"/>
    <w:rsid w:val="00AF04C1"/>
    <w:rsid w:val="00AF08F8"/>
    <w:rsid w:val="00AF09B3"/>
    <w:rsid w:val="00AF0B42"/>
    <w:rsid w:val="00AF14D4"/>
    <w:rsid w:val="00AF2CC1"/>
    <w:rsid w:val="00AF30B9"/>
    <w:rsid w:val="00AF3927"/>
    <w:rsid w:val="00AF3F9C"/>
    <w:rsid w:val="00AF4E25"/>
    <w:rsid w:val="00AF5954"/>
    <w:rsid w:val="00AF599F"/>
    <w:rsid w:val="00AF5DF9"/>
    <w:rsid w:val="00AF692E"/>
    <w:rsid w:val="00AF6985"/>
    <w:rsid w:val="00AF6A39"/>
    <w:rsid w:val="00B004B0"/>
    <w:rsid w:val="00B008AA"/>
    <w:rsid w:val="00B0099C"/>
    <w:rsid w:val="00B01CC0"/>
    <w:rsid w:val="00B0277B"/>
    <w:rsid w:val="00B03A68"/>
    <w:rsid w:val="00B040B4"/>
    <w:rsid w:val="00B04224"/>
    <w:rsid w:val="00B05406"/>
    <w:rsid w:val="00B05494"/>
    <w:rsid w:val="00B058A4"/>
    <w:rsid w:val="00B05952"/>
    <w:rsid w:val="00B059D4"/>
    <w:rsid w:val="00B05AF2"/>
    <w:rsid w:val="00B0619D"/>
    <w:rsid w:val="00B06901"/>
    <w:rsid w:val="00B0706D"/>
    <w:rsid w:val="00B07FC2"/>
    <w:rsid w:val="00B1080A"/>
    <w:rsid w:val="00B117CA"/>
    <w:rsid w:val="00B11AFB"/>
    <w:rsid w:val="00B11D5E"/>
    <w:rsid w:val="00B13CEC"/>
    <w:rsid w:val="00B14DA3"/>
    <w:rsid w:val="00B15446"/>
    <w:rsid w:val="00B15D70"/>
    <w:rsid w:val="00B15FDE"/>
    <w:rsid w:val="00B174F3"/>
    <w:rsid w:val="00B1759C"/>
    <w:rsid w:val="00B17CA8"/>
    <w:rsid w:val="00B20474"/>
    <w:rsid w:val="00B20779"/>
    <w:rsid w:val="00B20793"/>
    <w:rsid w:val="00B212EE"/>
    <w:rsid w:val="00B2199A"/>
    <w:rsid w:val="00B21C0A"/>
    <w:rsid w:val="00B21E96"/>
    <w:rsid w:val="00B21F17"/>
    <w:rsid w:val="00B227AD"/>
    <w:rsid w:val="00B237AB"/>
    <w:rsid w:val="00B23981"/>
    <w:rsid w:val="00B23A84"/>
    <w:rsid w:val="00B23B23"/>
    <w:rsid w:val="00B23F51"/>
    <w:rsid w:val="00B2464E"/>
    <w:rsid w:val="00B24E3C"/>
    <w:rsid w:val="00B25998"/>
    <w:rsid w:val="00B25B06"/>
    <w:rsid w:val="00B2683A"/>
    <w:rsid w:val="00B26E09"/>
    <w:rsid w:val="00B27479"/>
    <w:rsid w:val="00B27966"/>
    <w:rsid w:val="00B27C81"/>
    <w:rsid w:val="00B3001F"/>
    <w:rsid w:val="00B3126F"/>
    <w:rsid w:val="00B32B46"/>
    <w:rsid w:val="00B32C5D"/>
    <w:rsid w:val="00B336A1"/>
    <w:rsid w:val="00B340EB"/>
    <w:rsid w:val="00B3424A"/>
    <w:rsid w:val="00B352FD"/>
    <w:rsid w:val="00B35882"/>
    <w:rsid w:val="00B36065"/>
    <w:rsid w:val="00B3711E"/>
    <w:rsid w:val="00B37B22"/>
    <w:rsid w:val="00B40ADB"/>
    <w:rsid w:val="00B40EF0"/>
    <w:rsid w:val="00B420DA"/>
    <w:rsid w:val="00B4216A"/>
    <w:rsid w:val="00B4331C"/>
    <w:rsid w:val="00B44844"/>
    <w:rsid w:val="00B44AA1"/>
    <w:rsid w:val="00B44BB8"/>
    <w:rsid w:val="00B45BC5"/>
    <w:rsid w:val="00B45CF6"/>
    <w:rsid w:val="00B460D6"/>
    <w:rsid w:val="00B46A9B"/>
    <w:rsid w:val="00B479A6"/>
    <w:rsid w:val="00B47C6B"/>
    <w:rsid w:val="00B47F75"/>
    <w:rsid w:val="00B51454"/>
    <w:rsid w:val="00B51497"/>
    <w:rsid w:val="00B51F08"/>
    <w:rsid w:val="00B528D7"/>
    <w:rsid w:val="00B5348B"/>
    <w:rsid w:val="00B53F06"/>
    <w:rsid w:val="00B5456F"/>
    <w:rsid w:val="00B54D5D"/>
    <w:rsid w:val="00B55256"/>
    <w:rsid w:val="00B5603C"/>
    <w:rsid w:val="00B57144"/>
    <w:rsid w:val="00B57350"/>
    <w:rsid w:val="00B57CA1"/>
    <w:rsid w:val="00B57EB2"/>
    <w:rsid w:val="00B60E53"/>
    <w:rsid w:val="00B61BE4"/>
    <w:rsid w:val="00B61EC5"/>
    <w:rsid w:val="00B61F47"/>
    <w:rsid w:val="00B62107"/>
    <w:rsid w:val="00B627D4"/>
    <w:rsid w:val="00B62B96"/>
    <w:rsid w:val="00B63227"/>
    <w:rsid w:val="00B63397"/>
    <w:rsid w:val="00B64128"/>
    <w:rsid w:val="00B642AA"/>
    <w:rsid w:val="00B64425"/>
    <w:rsid w:val="00B64865"/>
    <w:rsid w:val="00B6499D"/>
    <w:rsid w:val="00B64FA2"/>
    <w:rsid w:val="00B65F46"/>
    <w:rsid w:val="00B66829"/>
    <w:rsid w:val="00B67036"/>
    <w:rsid w:val="00B6724C"/>
    <w:rsid w:val="00B71036"/>
    <w:rsid w:val="00B717EE"/>
    <w:rsid w:val="00B71E8B"/>
    <w:rsid w:val="00B720CA"/>
    <w:rsid w:val="00B72281"/>
    <w:rsid w:val="00B744D0"/>
    <w:rsid w:val="00B746A3"/>
    <w:rsid w:val="00B74A20"/>
    <w:rsid w:val="00B7581D"/>
    <w:rsid w:val="00B77112"/>
    <w:rsid w:val="00B77152"/>
    <w:rsid w:val="00B7734C"/>
    <w:rsid w:val="00B80432"/>
    <w:rsid w:val="00B81344"/>
    <w:rsid w:val="00B81424"/>
    <w:rsid w:val="00B817E3"/>
    <w:rsid w:val="00B81CD7"/>
    <w:rsid w:val="00B81FF5"/>
    <w:rsid w:val="00B8237D"/>
    <w:rsid w:val="00B825E6"/>
    <w:rsid w:val="00B82B1F"/>
    <w:rsid w:val="00B82D49"/>
    <w:rsid w:val="00B83685"/>
    <w:rsid w:val="00B84045"/>
    <w:rsid w:val="00B842BD"/>
    <w:rsid w:val="00B843BF"/>
    <w:rsid w:val="00B843C7"/>
    <w:rsid w:val="00B8497C"/>
    <w:rsid w:val="00B84B36"/>
    <w:rsid w:val="00B84CF4"/>
    <w:rsid w:val="00B850E7"/>
    <w:rsid w:val="00B855B7"/>
    <w:rsid w:val="00B85B4A"/>
    <w:rsid w:val="00B877B6"/>
    <w:rsid w:val="00B87E4E"/>
    <w:rsid w:val="00B9047E"/>
    <w:rsid w:val="00B906C1"/>
    <w:rsid w:val="00B90B6B"/>
    <w:rsid w:val="00B916B7"/>
    <w:rsid w:val="00B91833"/>
    <w:rsid w:val="00B928E4"/>
    <w:rsid w:val="00B93586"/>
    <w:rsid w:val="00B939D4"/>
    <w:rsid w:val="00B94015"/>
    <w:rsid w:val="00B94178"/>
    <w:rsid w:val="00B94933"/>
    <w:rsid w:val="00B94CE4"/>
    <w:rsid w:val="00B954B9"/>
    <w:rsid w:val="00B97080"/>
    <w:rsid w:val="00B971EC"/>
    <w:rsid w:val="00B97B21"/>
    <w:rsid w:val="00BA0050"/>
    <w:rsid w:val="00BA21D1"/>
    <w:rsid w:val="00BA29FC"/>
    <w:rsid w:val="00BA390E"/>
    <w:rsid w:val="00BA39A4"/>
    <w:rsid w:val="00BA3B16"/>
    <w:rsid w:val="00BA3E23"/>
    <w:rsid w:val="00BA4647"/>
    <w:rsid w:val="00BA5164"/>
    <w:rsid w:val="00BA59C9"/>
    <w:rsid w:val="00BA6C91"/>
    <w:rsid w:val="00BA7106"/>
    <w:rsid w:val="00BB088F"/>
    <w:rsid w:val="00BB08CE"/>
    <w:rsid w:val="00BB0D23"/>
    <w:rsid w:val="00BB226A"/>
    <w:rsid w:val="00BB2B60"/>
    <w:rsid w:val="00BB30CE"/>
    <w:rsid w:val="00BB3668"/>
    <w:rsid w:val="00BB388D"/>
    <w:rsid w:val="00BB41B5"/>
    <w:rsid w:val="00BB420C"/>
    <w:rsid w:val="00BB4A9A"/>
    <w:rsid w:val="00BB4AAC"/>
    <w:rsid w:val="00BB4B72"/>
    <w:rsid w:val="00BB4BA5"/>
    <w:rsid w:val="00BB4D52"/>
    <w:rsid w:val="00BB51D0"/>
    <w:rsid w:val="00BB644D"/>
    <w:rsid w:val="00BB653E"/>
    <w:rsid w:val="00BB66ED"/>
    <w:rsid w:val="00BB6736"/>
    <w:rsid w:val="00BB6847"/>
    <w:rsid w:val="00BB6877"/>
    <w:rsid w:val="00BB6FB9"/>
    <w:rsid w:val="00BB734B"/>
    <w:rsid w:val="00BB7B99"/>
    <w:rsid w:val="00BC0050"/>
    <w:rsid w:val="00BC031A"/>
    <w:rsid w:val="00BC0D69"/>
    <w:rsid w:val="00BC1B56"/>
    <w:rsid w:val="00BC2C8B"/>
    <w:rsid w:val="00BC3071"/>
    <w:rsid w:val="00BC4F3D"/>
    <w:rsid w:val="00BC5173"/>
    <w:rsid w:val="00BC5323"/>
    <w:rsid w:val="00BC5659"/>
    <w:rsid w:val="00BC5800"/>
    <w:rsid w:val="00BC5BC7"/>
    <w:rsid w:val="00BC697C"/>
    <w:rsid w:val="00BC789A"/>
    <w:rsid w:val="00BD06E7"/>
    <w:rsid w:val="00BD0F04"/>
    <w:rsid w:val="00BD1A3F"/>
    <w:rsid w:val="00BD1E84"/>
    <w:rsid w:val="00BD212E"/>
    <w:rsid w:val="00BD2DA6"/>
    <w:rsid w:val="00BD3B6A"/>
    <w:rsid w:val="00BD3FF5"/>
    <w:rsid w:val="00BD40B1"/>
    <w:rsid w:val="00BD4AFA"/>
    <w:rsid w:val="00BD4F2F"/>
    <w:rsid w:val="00BD5886"/>
    <w:rsid w:val="00BD5AD6"/>
    <w:rsid w:val="00BD6445"/>
    <w:rsid w:val="00BD7849"/>
    <w:rsid w:val="00BD78F3"/>
    <w:rsid w:val="00BD7A1B"/>
    <w:rsid w:val="00BE0541"/>
    <w:rsid w:val="00BE1125"/>
    <w:rsid w:val="00BE2725"/>
    <w:rsid w:val="00BE34C3"/>
    <w:rsid w:val="00BE34C9"/>
    <w:rsid w:val="00BE3D3F"/>
    <w:rsid w:val="00BE4C0F"/>
    <w:rsid w:val="00BE4C2A"/>
    <w:rsid w:val="00BE4C2C"/>
    <w:rsid w:val="00BE4D88"/>
    <w:rsid w:val="00BE4E08"/>
    <w:rsid w:val="00BE5222"/>
    <w:rsid w:val="00BE5380"/>
    <w:rsid w:val="00BE5453"/>
    <w:rsid w:val="00BE5D60"/>
    <w:rsid w:val="00BE6151"/>
    <w:rsid w:val="00BE6961"/>
    <w:rsid w:val="00BE6F2C"/>
    <w:rsid w:val="00BE7A42"/>
    <w:rsid w:val="00BE7AB2"/>
    <w:rsid w:val="00BE7E11"/>
    <w:rsid w:val="00BF07D0"/>
    <w:rsid w:val="00BF0F3F"/>
    <w:rsid w:val="00BF136A"/>
    <w:rsid w:val="00BF155E"/>
    <w:rsid w:val="00BF1E62"/>
    <w:rsid w:val="00BF2566"/>
    <w:rsid w:val="00BF2600"/>
    <w:rsid w:val="00BF2D02"/>
    <w:rsid w:val="00BF2D96"/>
    <w:rsid w:val="00BF302A"/>
    <w:rsid w:val="00BF31F8"/>
    <w:rsid w:val="00BF355F"/>
    <w:rsid w:val="00BF3A81"/>
    <w:rsid w:val="00BF3AE5"/>
    <w:rsid w:val="00BF3F78"/>
    <w:rsid w:val="00BF4E66"/>
    <w:rsid w:val="00BF5FDB"/>
    <w:rsid w:val="00BF670C"/>
    <w:rsid w:val="00BF6C13"/>
    <w:rsid w:val="00BF6C6D"/>
    <w:rsid w:val="00BF725B"/>
    <w:rsid w:val="00C008E4"/>
    <w:rsid w:val="00C010E6"/>
    <w:rsid w:val="00C01896"/>
    <w:rsid w:val="00C0232D"/>
    <w:rsid w:val="00C02B69"/>
    <w:rsid w:val="00C02BD6"/>
    <w:rsid w:val="00C04BEA"/>
    <w:rsid w:val="00C055D1"/>
    <w:rsid w:val="00C07018"/>
    <w:rsid w:val="00C072CB"/>
    <w:rsid w:val="00C1004D"/>
    <w:rsid w:val="00C1050F"/>
    <w:rsid w:val="00C10897"/>
    <w:rsid w:val="00C10BF0"/>
    <w:rsid w:val="00C11202"/>
    <w:rsid w:val="00C129DA"/>
    <w:rsid w:val="00C1302E"/>
    <w:rsid w:val="00C13387"/>
    <w:rsid w:val="00C145CD"/>
    <w:rsid w:val="00C146B0"/>
    <w:rsid w:val="00C162D8"/>
    <w:rsid w:val="00C165F5"/>
    <w:rsid w:val="00C16660"/>
    <w:rsid w:val="00C16F74"/>
    <w:rsid w:val="00C2002B"/>
    <w:rsid w:val="00C205E3"/>
    <w:rsid w:val="00C21077"/>
    <w:rsid w:val="00C21D57"/>
    <w:rsid w:val="00C2215B"/>
    <w:rsid w:val="00C227FC"/>
    <w:rsid w:val="00C2283A"/>
    <w:rsid w:val="00C228A7"/>
    <w:rsid w:val="00C23189"/>
    <w:rsid w:val="00C23326"/>
    <w:rsid w:val="00C234F0"/>
    <w:rsid w:val="00C23940"/>
    <w:rsid w:val="00C24219"/>
    <w:rsid w:val="00C250D2"/>
    <w:rsid w:val="00C2532C"/>
    <w:rsid w:val="00C25BF0"/>
    <w:rsid w:val="00C2644D"/>
    <w:rsid w:val="00C2678F"/>
    <w:rsid w:val="00C267C5"/>
    <w:rsid w:val="00C268EC"/>
    <w:rsid w:val="00C26BA6"/>
    <w:rsid w:val="00C26BB4"/>
    <w:rsid w:val="00C26BC0"/>
    <w:rsid w:val="00C27FA4"/>
    <w:rsid w:val="00C301F9"/>
    <w:rsid w:val="00C30FFC"/>
    <w:rsid w:val="00C31E6F"/>
    <w:rsid w:val="00C3210B"/>
    <w:rsid w:val="00C32CF4"/>
    <w:rsid w:val="00C33180"/>
    <w:rsid w:val="00C339B0"/>
    <w:rsid w:val="00C33BC9"/>
    <w:rsid w:val="00C33E47"/>
    <w:rsid w:val="00C342D4"/>
    <w:rsid w:val="00C343ED"/>
    <w:rsid w:val="00C343EF"/>
    <w:rsid w:val="00C345CC"/>
    <w:rsid w:val="00C350AE"/>
    <w:rsid w:val="00C35894"/>
    <w:rsid w:val="00C36464"/>
    <w:rsid w:val="00C40344"/>
    <w:rsid w:val="00C40DC0"/>
    <w:rsid w:val="00C4149C"/>
    <w:rsid w:val="00C41725"/>
    <w:rsid w:val="00C41857"/>
    <w:rsid w:val="00C419DD"/>
    <w:rsid w:val="00C43602"/>
    <w:rsid w:val="00C43F5C"/>
    <w:rsid w:val="00C44C69"/>
    <w:rsid w:val="00C44EA5"/>
    <w:rsid w:val="00C47680"/>
    <w:rsid w:val="00C47E6A"/>
    <w:rsid w:val="00C5032F"/>
    <w:rsid w:val="00C50361"/>
    <w:rsid w:val="00C5084E"/>
    <w:rsid w:val="00C50A91"/>
    <w:rsid w:val="00C50B70"/>
    <w:rsid w:val="00C52870"/>
    <w:rsid w:val="00C52BF3"/>
    <w:rsid w:val="00C52EF3"/>
    <w:rsid w:val="00C52FBD"/>
    <w:rsid w:val="00C53118"/>
    <w:rsid w:val="00C531C1"/>
    <w:rsid w:val="00C53280"/>
    <w:rsid w:val="00C53BCD"/>
    <w:rsid w:val="00C53E8B"/>
    <w:rsid w:val="00C54E38"/>
    <w:rsid w:val="00C551AD"/>
    <w:rsid w:val="00C56739"/>
    <w:rsid w:val="00C57AD4"/>
    <w:rsid w:val="00C57CC9"/>
    <w:rsid w:val="00C57F09"/>
    <w:rsid w:val="00C60449"/>
    <w:rsid w:val="00C61A17"/>
    <w:rsid w:val="00C62246"/>
    <w:rsid w:val="00C6376B"/>
    <w:rsid w:val="00C639E5"/>
    <w:rsid w:val="00C65E18"/>
    <w:rsid w:val="00C65F92"/>
    <w:rsid w:val="00C666A4"/>
    <w:rsid w:val="00C6678A"/>
    <w:rsid w:val="00C66EBF"/>
    <w:rsid w:val="00C67C52"/>
    <w:rsid w:val="00C70316"/>
    <w:rsid w:val="00C70741"/>
    <w:rsid w:val="00C70E0A"/>
    <w:rsid w:val="00C70F66"/>
    <w:rsid w:val="00C7167D"/>
    <w:rsid w:val="00C716FD"/>
    <w:rsid w:val="00C71E0E"/>
    <w:rsid w:val="00C72917"/>
    <w:rsid w:val="00C73A63"/>
    <w:rsid w:val="00C73C1C"/>
    <w:rsid w:val="00C74233"/>
    <w:rsid w:val="00C7432F"/>
    <w:rsid w:val="00C74867"/>
    <w:rsid w:val="00C74F2E"/>
    <w:rsid w:val="00C75196"/>
    <w:rsid w:val="00C75DAC"/>
    <w:rsid w:val="00C76627"/>
    <w:rsid w:val="00C76845"/>
    <w:rsid w:val="00C76F7D"/>
    <w:rsid w:val="00C7744D"/>
    <w:rsid w:val="00C77774"/>
    <w:rsid w:val="00C7790E"/>
    <w:rsid w:val="00C82A03"/>
    <w:rsid w:val="00C82BF2"/>
    <w:rsid w:val="00C82D77"/>
    <w:rsid w:val="00C834B0"/>
    <w:rsid w:val="00C85C69"/>
    <w:rsid w:val="00C86DA3"/>
    <w:rsid w:val="00C86E0A"/>
    <w:rsid w:val="00C86EF0"/>
    <w:rsid w:val="00C87032"/>
    <w:rsid w:val="00C87256"/>
    <w:rsid w:val="00C910CD"/>
    <w:rsid w:val="00C912EA"/>
    <w:rsid w:val="00C929D0"/>
    <w:rsid w:val="00C93917"/>
    <w:rsid w:val="00C952D3"/>
    <w:rsid w:val="00C9626B"/>
    <w:rsid w:val="00C969BB"/>
    <w:rsid w:val="00C970E1"/>
    <w:rsid w:val="00C9763B"/>
    <w:rsid w:val="00CA032D"/>
    <w:rsid w:val="00CA099F"/>
    <w:rsid w:val="00CA123E"/>
    <w:rsid w:val="00CA136B"/>
    <w:rsid w:val="00CA18E6"/>
    <w:rsid w:val="00CA1BD4"/>
    <w:rsid w:val="00CA1F38"/>
    <w:rsid w:val="00CA1FC7"/>
    <w:rsid w:val="00CA226D"/>
    <w:rsid w:val="00CA3A1E"/>
    <w:rsid w:val="00CA4A2C"/>
    <w:rsid w:val="00CA4A6F"/>
    <w:rsid w:val="00CA5319"/>
    <w:rsid w:val="00CA58D3"/>
    <w:rsid w:val="00CA6F88"/>
    <w:rsid w:val="00CA7791"/>
    <w:rsid w:val="00CB15DB"/>
    <w:rsid w:val="00CB21C6"/>
    <w:rsid w:val="00CB2721"/>
    <w:rsid w:val="00CB2EA4"/>
    <w:rsid w:val="00CB3F0E"/>
    <w:rsid w:val="00CB407D"/>
    <w:rsid w:val="00CB44AE"/>
    <w:rsid w:val="00CB4D19"/>
    <w:rsid w:val="00CB4E5F"/>
    <w:rsid w:val="00CB4EC6"/>
    <w:rsid w:val="00CB6369"/>
    <w:rsid w:val="00CB7554"/>
    <w:rsid w:val="00CB7DA5"/>
    <w:rsid w:val="00CC03F8"/>
    <w:rsid w:val="00CC0E58"/>
    <w:rsid w:val="00CC12E9"/>
    <w:rsid w:val="00CC1834"/>
    <w:rsid w:val="00CC1C35"/>
    <w:rsid w:val="00CC21A7"/>
    <w:rsid w:val="00CC23DA"/>
    <w:rsid w:val="00CC2C78"/>
    <w:rsid w:val="00CC3ED8"/>
    <w:rsid w:val="00CC46D3"/>
    <w:rsid w:val="00CC4950"/>
    <w:rsid w:val="00CC5145"/>
    <w:rsid w:val="00CC5AD4"/>
    <w:rsid w:val="00CC5E75"/>
    <w:rsid w:val="00CC6236"/>
    <w:rsid w:val="00CC6237"/>
    <w:rsid w:val="00CC6632"/>
    <w:rsid w:val="00CC6851"/>
    <w:rsid w:val="00CC6EC6"/>
    <w:rsid w:val="00CC7255"/>
    <w:rsid w:val="00CD019A"/>
    <w:rsid w:val="00CD021E"/>
    <w:rsid w:val="00CD0309"/>
    <w:rsid w:val="00CD06E6"/>
    <w:rsid w:val="00CD089D"/>
    <w:rsid w:val="00CD110D"/>
    <w:rsid w:val="00CD12AA"/>
    <w:rsid w:val="00CD12FF"/>
    <w:rsid w:val="00CD141B"/>
    <w:rsid w:val="00CD283C"/>
    <w:rsid w:val="00CD33F4"/>
    <w:rsid w:val="00CD3814"/>
    <w:rsid w:val="00CD3DAA"/>
    <w:rsid w:val="00CD493B"/>
    <w:rsid w:val="00CD510E"/>
    <w:rsid w:val="00CD541C"/>
    <w:rsid w:val="00CD5555"/>
    <w:rsid w:val="00CD70CB"/>
    <w:rsid w:val="00CD7DB4"/>
    <w:rsid w:val="00CE16F4"/>
    <w:rsid w:val="00CE20AE"/>
    <w:rsid w:val="00CE235A"/>
    <w:rsid w:val="00CE2E0E"/>
    <w:rsid w:val="00CE2FF3"/>
    <w:rsid w:val="00CE3416"/>
    <w:rsid w:val="00CE3949"/>
    <w:rsid w:val="00CE47B8"/>
    <w:rsid w:val="00CE533C"/>
    <w:rsid w:val="00CE58DE"/>
    <w:rsid w:val="00CE6A0E"/>
    <w:rsid w:val="00CE6A8F"/>
    <w:rsid w:val="00CE796D"/>
    <w:rsid w:val="00CE7E73"/>
    <w:rsid w:val="00CF0070"/>
    <w:rsid w:val="00CF03AF"/>
    <w:rsid w:val="00CF0506"/>
    <w:rsid w:val="00CF0601"/>
    <w:rsid w:val="00CF0C47"/>
    <w:rsid w:val="00CF194C"/>
    <w:rsid w:val="00CF1D09"/>
    <w:rsid w:val="00CF1DD8"/>
    <w:rsid w:val="00CF2276"/>
    <w:rsid w:val="00CF2818"/>
    <w:rsid w:val="00CF28AA"/>
    <w:rsid w:val="00CF2925"/>
    <w:rsid w:val="00CF2CC0"/>
    <w:rsid w:val="00CF365D"/>
    <w:rsid w:val="00CF3A0B"/>
    <w:rsid w:val="00CF4708"/>
    <w:rsid w:val="00CF4A86"/>
    <w:rsid w:val="00CF4BAB"/>
    <w:rsid w:val="00CF7774"/>
    <w:rsid w:val="00CF7A44"/>
    <w:rsid w:val="00D0072F"/>
    <w:rsid w:val="00D01060"/>
    <w:rsid w:val="00D01210"/>
    <w:rsid w:val="00D01550"/>
    <w:rsid w:val="00D0204F"/>
    <w:rsid w:val="00D02A81"/>
    <w:rsid w:val="00D02AB1"/>
    <w:rsid w:val="00D0320E"/>
    <w:rsid w:val="00D05858"/>
    <w:rsid w:val="00D058A4"/>
    <w:rsid w:val="00D05CA8"/>
    <w:rsid w:val="00D073A6"/>
    <w:rsid w:val="00D0745D"/>
    <w:rsid w:val="00D07FAE"/>
    <w:rsid w:val="00D10934"/>
    <w:rsid w:val="00D10B63"/>
    <w:rsid w:val="00D114C5"/>
    <w:rsid w:val="00D116FF"/>
    <w:rsid w:val="00D11B91"/>
    <w:rsid w:val="00D11E95"/>
    <w:rsid w:val="00D11F21"/>
    <w:rsid w:val="00D1266A"/>
    <w:rsid w:val="00D12E9C"/>
    <w:rsid w:val="00D13380"/>
    <w:rsid w:val="00D13B0A"/>
    <w:rsid w:val="00D13DCA"/>
    <w:rsid w:val="00D15256"/>
    <w:rsid w:val="00D154C9"/>
    <w:rsid w:val="00D154FF"/>
    <w:rsid w:val="00D15587"/>
    <w:rsid w:val="00D17D13"/>
    <w:rsid w:val="00D17D87"/>
    <w:rsid w:val="00D202B2"/>
    <w:rsid w:val="00D21A46"/>
    <w:rsid w:val="00D22332"/>
    <w:rsid w:val="00D22C94"/>
    <w:rsid w:val="00D23BCB"/>
    <w:rsid w:val="00D244F6"/>
    <w:rsid w:val="00D259CF"/>
    <w:rsid w:val="00D26300"/>
    <w:rsid w:val="00D272D1"/>
    <w:rsid w:val="00D27B6F"/>
    <w:rsid w:val="00D30C71"/>
    <w:rsid w:val="00D31C83"/>
    <w:rsid w:val="00D32156"/>
    <w:rsid w:val="00D3286C"/>
    <w:rsid w:val="00D33059"/>
    <w:rsid w:val="00D33480"/>
    <w:rsid w:val="00D347F0"/>
    <w:rsid w:val="00D355DF"/>
    <w:rsid w:val="00D36F82"/>
    <w:rsid w:val="00D3724B"/>
    <w:rsid w:val="00D3747E"/>
    <w:rsid w:val="00D374F5"/>
    <w:rsid w:val="00D37814"/>
    <w:rsid w:val="00D379F5"/>
    <w:rsid w:val="00D37E98"/>
    <w:rsid w:val="00D4044E"/>
    <w:rsid w:val="00D40722"/>
    <w:rsid w:val="00D40C29"/>
    <w:rsid w:val="00D4129E"/>
    <w:rsid w:val="00D41771"/>
    <w:rsid w:val="00D428E8"/>
    <w:rsid w:val="00D42FBA"/>
    <w:rsid w:val="00D43667"/>
    <w:rsid w:val="00D4370E"/>
    <w:rsid w:val="00D44AF3"/>
    <w:rsid w:val="00D4513B"/>
    <w:rsid w:val="00D453B4"/>
    <w:rsid w:val="00D4641B"/>
    <w:rsid w:val="00D4670B"/>
    <w:rsid w:val="00D46751"/>
    <w:rsid w:val="00D47D88"/>
    <w:rsid w:val="00D50322"/>
    <w:rsid w:val="00D50EF8"/>
    <w:rsid w:val="00D51AF8"/>
    <w:rsid w:val="00D51C47"/>
    <w:rsid w:val="00D51E54"/>
    <w:rsid w:val="00D522A7"/>
    <w:rsid w:val="00D52AB3"/>
    <w:rsid w:val="00D533B8"/>
    <w:rsid w:val="00D53ABC"/>
    <w:rsid w:val="00D548C8"/>
    <w:rsid w:val="00D54A6C"/>
    <w:rsid w:val="00D54BAD"/>
    <w:rsid w:val="00D561F5"/>
    <w:rsid w:val="00D56555"/>
    <w:rsid w:val="00D566F9"/>
    <w:rsid w:val="00D60300"/>
    <w:rsid w:val="00D60B1F"/>
    <w:rsid w:val="00D6105D"/>
    <w:rsid w:val="00D62163"/>
    <w:rsid w:val="00D621C2"/>
    <w:rsid w:val="00D62838"/>
    <w:rsid w:val="00D628D5"/>
    <w:rsid w:val="00D62ADF"/>
    <w:rsid w:val="00D62C28"/>
    <w:rsid w:val="00D63173"/>
    <w:rsid w:val="00D63462"/>
    <w:rsid w:val="00D64ABC"/>
    <w:rsid w:val="00D65191"/>
    <w:rsid w:val="00D65981"/>
    <w:rsid w:val="00D65E6B"/>
    <w:rsid w:val="00D66B33"/>
    <w:rsid w:val="00D66C8F"/>
    <w:rsid w:val="00D675D6"/>
    <w:rsid w:val="00D679B9"/>
    <w:rsid w:val="00D67A7B"/>
    <w:rsid w:val="00D70362"/>
    <w:rsid w:val="00D7061F"/>
    <w:rsid w:val="00D72392"/>
    <w:rsid w:val="00D728F6"/>
    <w:rsid w:val="00D72F7D"/>
    <w:rsid w:val="00D7322F"/>
    <w:rsid w:val="00D733B5"/>
    <w:rsid w:val="00D7349D"/>
    <w:rsid w:val="00D7416A"/>
    <w:rsid w:val="00D7497C"/>
    <w:rsid w:val="00D75082"/>
    <w:rsid w:val="00D75DAE"/>
    <w:rsid w:val="00D76534"/>
    <w:rsid w:val="00D76B27"/>
    <w:rsid w:val="00D76DA1"/>
    <w:rsid w:val="00D77478"/>
    <w:rsid w:val="00D800DC"/>
    <w:rsid w:val="00D80B94"/>
    <w:rsid w:val="00D80BC1"/>
    <w:rsid w:val="00D8144D"/>
    <w:rsid w:val="00D8153D"/>
    <w:rsid w:val="00D81860"/>
    <w:rsid w:val="00D82FC7"/>
    <w:rsid w:val="00D84300"/>
    <w:rsid w:val="00D8483C"/>
    <w:rsid w:val="00D84DE2"/>
    <w:rsid w:val="00D84FB0"/>
    <w:rsid w:val="00D85532"/>
    <w:rsid w:val="00D85F75"/>
    <w:rsid w:val="00D8615D"/>
    <w:rsid w:val="00D86DC8"/>
    <w:rsid w:val="00D8768B"/>
    <w:rsid w:val="00D8786C"/>
    <w:rsid w:val="00D87ACA"/>
    <w:rsid w:val="00D87BBB"/>
    <w:rsid w:val="00D87FC3"/>
    <w:rsid w:val="00D9062B"/>
    <w:rsid w:val="00D90681"/>
    <w:rsid w:val="00D90C43"/>
    <w:rsid w:val="00D91155"/>
    <w:rsid w:val="00D91423"/>
    <w:rsid w:val="00D937C8"/>
    <w:rsid w:val="00D93BD1"/>
    <w:rsid w:val="00D93C04"/>
    <w:rsid w:val="00D940A8"/>
    <w:rsid w:val="00D94710"/>
    <w:rsid w:val="00D94B10"/>
    <w:rsid w:val="00D95971"/>
    <w:rsid w:val="00D9599F"/>
    <w:rsid w:val="00D959F7"/>
    <w:rsid w:val="00D9635C"/>
    <w:rsid w:val="00D9713F"/>
    <w:rsid w:val="00D9718F"/>
    <w:rsid w:val="00D97B4D"/>
    <w:rsid w:val="00DA08FA"/>
    <w:rsid w:val="00DA0C6D"/>
    <w:rsid w:val="00DA0F83"/>
    <w:rsid w:val="00DA12E0"/>
    <w:rsid w:val="00DA193E"/>
    <w:rsid w:val="00DA1F13"/>
    <w:rsid w:val="00DA2DAC"/>
    <w:rsid w:val="00DA348D"/>
    <w:rsid w:val="00DA41C4"/>
    <w:rsid w:val="00DA4513"/>
    <w:rsid w:val="00DA46CE"/>
    <w:rsid w:val="00DA54BB"/>
    <w:rsid w:val="00DA56F4"/>
    <w:rsid w:val="00DA5B09"/>
    <w:rsid w:val="00DA6332"/>
    <w:rsid w:val="00DA6B32"/>
    <w:rsid w:val="00DA75B3"/>
    <w:rsid w:val="00DA7836"/>
    <w:rsid w:val="00DA7DD8"/>
    <w:rsid w:val="00DB0174"/>
    <w:rsid w:val="00DB0B77"/>
    <w:rsid w:val="00DB1041"/>
    <w:rsid w:val="00DB1D54"/>
    <w:rsid w:val="00DB2816"/>
    <w:rsid w:val="00DB3329"/>
    <w:rsid w:val="00DB3EE3"/>
    <w:rsid w:val="00DB41E5"/>
    <w:rsid w:val="00DB4551"/>
    <w:rsid w:val="00DB4928"/>
    <w:rsid w:val="00DB4AF4"/>
    <w:rsid w:val="00DB4CD9"/>
    <w:rsid w:val="00DB4FEC"/>
    <w:rsid w:val="00DB5D49"/>
    <w:rsid w:val="00DB64A6"/>
    <w:rsid w:val="00DB6A6F"/>
    <w:rsid w:val="00DB71CE"/>
    <w:rsid w:val="00DB73E0"/>
    <w:rsid w:val="00DC0A99"/>
    <w:rsid w:val="00DC13C5"/>
    <w:rsid w:val="00DC1DEA"/>
    <w:rsid w:val="00DC2651"/>
    <w:rsid w:val="00DC26CE"/>
    <w:rsid w:val="00DC2769"/>
    <w:rsid w:val="00DC333C"/>
    <w:rsid w:val="00DC3D49"/>
    <w:rsid w:val="00DC40A0"/>
    <w:rsid w:val="00DC559F"/>
    <w:rsid w:val="00DC564E"/>
    <w:rsid w:val="00DC5E32"/>
    <w:rsid w:val="00DC64E0"/>
    <w:rsid w:val="00DC68E3"/>
    <w:rsid w:val="00DC7142"/>
    <w:rsid w:val="00DD07B2"/>
    <w:rsid w:val="00DD0880"/>
    <w:rsid w:val="00DD1137"/>
    <w:rsid w:val="00DD21C5"/>
    <w:rsid w:val="00DD2C55"/>
    <w:rsid w:val="00DD3AAA"/>
    <w:rsid w:val="00DD3F5F"/>
    <w:rsid w:val="00DD4E9A"/>
    <w:rsid w:val="00DD5469"/>
    <w:rsid w:val="00DD5F9A"/>
    <w:rsid w:val="00DD706D"/>
    <w:rsid w:val="00DD730B"/>
    <w:rsid w:val="00DE0311"/>
    <w:rsid w:val="00DE0478"/>
    <w:rsid w:val="00DE14A7"/>
    <w:rsid w:val="00DE1B13"/>
    <w:rsid w:val="00DE2B18"/>
    <w:rsid w:val="00DE2ECC"/>
    <w:rsid w:val="00DE3099"/>
    <w:rsid w:val="00DE3A25"/>
    <w:rsid w:val="00DE3BFE"/>
    <w:rsid w:val="00DE4C43"/>
    <w:rsid w:val="00DE6BCE"/>
    <w:rsid w:val="00DE6E05"/>
    <w:rsid w:val="00DF0B73"/>
    <w:rsid w:val="00DF0F5F"/>
    <w:rsid w:val="00DF2324"/>
    <w:rsid w:val="00DF26F4"/>
    <w:rsid w:val="00DF2AFD"/>
    <w:rsid w:val="00DF2BDA"/>
    <w:rsid w:val="00DF36C0"/>
    <w:rsid w:val="00DF3EFE"/>
    <w:rsid w:val="00DF55E7"/>
    <w:rsid w:val="00DF58BE"/>
    <w:rsid w:val="00DF6262"/>
    <w:rsid w:val="00DF70AE"/>
    <w:rsid w:val="00DF70E5"/>
    <w:rsid w:val="00DF7AF3"/>
    <w:rsid w:val="00DF7FAA"/>
    <w:rsid w:val="00E01424"/>
    <w:rsid w:val="00E01895"/>
    <w:rsid w:val="00E0241D"/>
    <w:rsid w:val="00E0310A"/>
    <w:rsid w:val="00E0318C"/>
    <w:rsid w:val="00E03DA4"/>
    <w:rsid w:val="00E03EE2"/>
    <w:rsid w:val="00E04642"/>
    <w:rsid w:val="00E04A67"/>
    <w:rsid w:val="00E04A99"/>
    <w:rsid w:val="00E04E3C"/>
    <w:rsid w:val="00E05843"/>
    <w:rsid w:val="00E05C9F"/>
    <w:rsid w:val="00E06387"/>
    <w:rsid w:val="00E065CE"/>
    <w:rsid w:val="00E066FC"/>
    <w:rsid w:val="00E0705A"/>
    <w:rsid w:val="00E071B5"/>
    <w:rsid w:val="00E07374"/>
    <w:rsid w:val="00E102CB"/>
    <w:rsid w:val="00E10FB7"/>
    <w:rsid w:val="00E119C8"/>
    <w:rsid w:val="00E11A34"/>
    <w:rsid w:val="00E1279F"/>
    <w:rsid w:val="00E12AA9"/>
    <w:rsid w:val="00E12DEB"/>
    <w:rsid w:val="00E12E8E"/>
    <w:rsid w:val="00E135D6"/>
    <w:rsid w:val="00E137CD"/>
    <w:rsid w:val="00E142F2"/>
    <w:rsid w:val="00E1471F"/>
    <w:rsid w:val="00E1621F"/>
    <w:rsid w:val="00E16395"/>
    <w:rsid w:val="00E16F76"/>
    <w:rsid w:val="00E1717E"/>
    <w:rsid w:val="00E17700"/>
    <w:rsid w:val="00E17763"/>
    <w:rsid w:val="00E17C99"/>
    <w:rsid w:val="00E20239"/>
    <w:rsid w:val="00E20379"/>
    <w:rsid w:val="00E204C4"/>
    <w:rsid w:val="00E20858"/>
    <w:rsid w:val="00E2225D"/>
    <w:rsid w:val="00E2265D"/>
    <w:rsid w:val="00E2290C"/>
    <w:rsid w:val="00E24190"/>
    <w:rsid w:val="00E2601C"/>
    <w:rsid w:val="00E26785"/>
    <w:rsid w:val="00E2787E"/>
    <w:rsid w:val="00E300D6"/>
    <w:rsid w:val="00E305D5"/>
    <w:rsid w:val="00E30875"/>
    <w:rsid w:val="00E30F2D"/>
    <w:rsid w:val="00E31049"/>
    <w:rsid w:val="00E31079"/>
    <w:rsid w:val="00E3156C"/>
    <w:rsid w:val="00E31840"/>
    <w:rsid w:val="00E31A62"/>
    <w:rsid w:val="00E33525"/>
    <w:rsid w:val="00E33531"/>
    <w:rsid w:val="00E338DC"/>
    <w:rsid w:val="00E33CCC"/>
    <w:rsid w:val="00E34EB7"/>
    <w:rsid w:val="00E35AA0"/>
    <w:rsid w:val="00E35B2D"/>
    <w:rsid w:val="00E35E4F"/>
    <w:rsid w:val="00E35F72"/>
    <w:rsid w:val="00E36298"/>
    <w:rsid w:val="00E3638D"/>
    <w:rsid w:val="00E3666B"/>
    <w:rsid w:val="00E3760C"/>
    <w:rsid w:val="00E37790"/>
    <w:rsid w:val="00E37FE3"/>
    <w:rsid w:val="00E40860"/>
    <w:rsid w:val="00E411C7"/>
    <w:rsid w:val="00E417E2"/>
    <w:rsid w:val="00E41BF6"/>
    <w:rsid w:val="00E41DF1"/>
    <w:rsid w:val="00E41E30"/>
    <w:rsid w:val="00E420F8"/>
    <w:rsid w:val="00E438BC"/>
    <w:rsid w:val="00E43936"/>
    <w:rsid w:val="00E43C31"/>
    <w:rsid w:val="00E43E90"/>
    <w:rsid w:val="00E4403D"/>
    <w:rsid w:val="00E44278"/>
    <w:rsid w:val="00E4447E"/>
    <w:rsid w:val="00E4472E"/>
    <w:rsid w:val="00E448C5"/>
    <w:rsid w:val="00E44CEE"/>
    <w:rsid w:val="00E44FDD"/>
    <w:rsid w:val="00E45F35"/>
    <w:rsid w:val="00E46889"/>
    <w:rsid w:val="00E471D8"/>
    <w:rsid w:val="00E47E47"/>
    <w:rsid w:val="00E47EE0"/>
    <w:rsid w:val="00E506B1"/>
    <w:rsid w:val="00E5096C"/>
    <w:rsid w:val="00E50BEE"/>
    <w:rsid w:val="00E5127F"/>
    <w:rsid w:val="00E52420"/>
    <w:rsid w:val="00E5273E"/>
    <w:rsid w:val="00E52CF7"/>
    <w:rsid w:val="00E538A4"/>
    <w:rsid w:val="00E54C2E"/>
    <w:rsid w:val="00E55325"/>
    <w:rsid w:val="00E554FB"/>
    <w:rsid w:val="00E5686D"/>
    <w:rsid w:val="00E56879"/>
    <w:rsid w:val="00E568D9"/>
    <w:rsid w:val="00E56B7C"/>
    <w:rsid w:val="00E56F59"/>
    <w:rsid w:val="00E60941"/>
    <w:rsid w:val="00E61364"/>
    <w:rsid w:val="00E61427"/>
    <w:rsid w:val="00E61833"/>
    <w:rsid w:val="00E61E6F"/>
    <w:rsid w:val="00E61ECF"/>
    <w:rsid w:val="00E62983"/>
    <w:rsid w:val="00E62E45"/>
    <w:rsid w:val="00E63D69"/>
    <w:rsid w:val="00E63DC6"/>
    <w:rsid w:val="00E6558D"/>
    <w:rsid w:val="00E66562"/>
    <w:rsid w:val="00E666BA"/>
    <w:rsid w:val="00E668AF"/>
    <w:rsid w:val="00E672ED"/>
    <w:rsid w:val="00E67AFA"/>
    <w:rsid w:val="00E67C35"/>
    <w:rsid w:val="00E7118B"/>
    <w:rsid w:val="00E721E7"/>
    <w:rsid w:val="00E72289"/>
    <w:rsid w:val="00E722F8"/>
    <w:rsid w:val="00E72A2F"/>
    <w:rsid w:val="00E73E0F"/>
    <w:rsid w:val="00E74263"/>
    <w:rsid w:val="00E744A1"/>
    <w:rsid w:val="00E74AA3"/>
    <w:rsid w:val="00E75097"/>
    <w:rsid w:val="00E75822"/>
    <w:rsid w:val="00E758D4"/>
    <w:rsid w:val="00E76CCB"/>
    <w:rsid w:val="00E770D0"/>
    <w:rsid w:val="00E80288"/>
    <w:rsid w:val="00E80334"/>
    <w:rsid w:val="00E810D9"/>
    <w:rsid w:val="00E83AFF"/>
    <w:rsid w:val="00E83B90"/>
    <w:rsid w:val="00E84111"/>
    <w:rsid w:val="00E84AEA"/>
    <w:rsid w:val="00E84C9C"/>
    <w:rsid w:val="00E853AF"/>
    <w:rsid w:val="00E86882"/>
    <w:rsid w:val="00E86D54"/>
    <w:rsid w:val="00E86F96"/>
    <w:rsid w:val="00E877DA"/>
    <w:rsid w:val="00E90828"/>
    <w:rsid w:val="00E90ED4"/>
    <w:rsid w:val="00E9132B"/>
    <w:rsid w:val="00E91EA8"/>
    <w:rsid w:val="00E9293A"/>
    <w:rsid w:val="00E93440"/>
    <w:rsid w:val="00E93E0D"/>
    <w:rsid w:val="00E94A22"/>
    <w:rsid w:val="00E95DA3"/>
    <w:rsid w:val="00E962C2"/>
    <w:rsid w:val="00E96B76"/>
    <w:rsid w:val="00E97588"/>
    <w:rsid w:val="00EA0546"/>
    <w:rsid w:val="00EA05B6"/>
    <w:rsid w:val="00EA08BD"/>
    <w:rsid w:val="00EA0EE7"/>
    <w:rsid w:val="00EA1764"/>
    <w:rsid w:val="00EA1F6D"/>
    <w:rsid w:val="00EA2096"/>
    <w:rsid w:val="00EA2176"/>
    <w:rsid w:val="00EA2E91"/>
    <w:rsid w:val="00EA32EB"/>
    <w:rsid w:val="00EA4336"/>
    <w:rsid w:val="00EA5504"/>
    <w:rsid w:val="00EA57C1"/>
    <w:rsid w:val="00EA596B"/>
    <w:rsid w:val="00EA5E63"/>
    <w:rsid w:val="00EA6748"/>
    <w:rsid w:val="00EA7534"/>
    <w:rsid w:val="00EB0B51"/>
    <w:rsid w:val="00EB31F0"/>
    <w:rsid w:val="00EB3CD7"/>
    <w:rsid w:val="00EB499A"/>
    <w:rsid w:val="00EB4E84"/>
    <w:rsid w:val="00EB56E3"/>
    <w:rsid w:val="00EB5BB1"/>
    <w:rsid w:val="00EB6101"/>
    <w:rsid w:val="00EB6D6C"/>
    <w:rsid w:val="00EC0207"/>
    <w:rsid w:val="00EC0AEB"/>
    <w:rsid w:val="00EC1413"/>
    <w:rsid w:val="00EC1823"/>
    <w:rsid w:val="00EC190C"/>
    <w:rsid w:val="00EC1AF9"/>
    <w:rsid w:val="00EC2438"/>
    <w:rsid w:val="00EC2B49"/>
    <w:rsid w:val="00EC2FE4"/>
    <w:rsid w:val="00EC3549"/>
    <w:rsid w:val="00EC40D2"/>
    <w:rsid w:val="00EC46CA"/>
    <w:rsid w:val="00EC496B"/>
    <w:rsid w:val="00EC4D16"/>
    <w:rsid w:val="00EC4DFB"/>
    <w:rsid w:val="00EC5318"/>
    <w:rsid w:val="00EC5BE6"/>
    <w:rsid w:val="00ED04AE"/>
    <w:rsid w:val="00ED06A7"/>
    <w:rsid w:val="00ED083F"/>
    <w:rsid w:val="00ED09E3"/>
    <w:rsid w:val="00ED17FF"/>
    <w:rsid w:val="00ED1C8F"/>
    <w:rsid w:val="00ED1EA8"/>
    <w:rsid w:val="00ED1F77"/>
    <w:rsid w:val="00ED2082"/>
    <w:rsid w:val="00ED2089"/>
    <w:rsid w:val="00ED24B3"/>
    <w:rsid w:val="00ED397D"/>
    <w:rsid w:val="00ED4F38"/>
    <w:rsid w:val="00ED5242"/>
    <w:rsid w:val="00ED610E"/>
    <w:rsid w:val="00ED6643"/>
    <w:rsid w:val="00ED7B88"/>
    <w:rsid w:val="00EE045C"/>
    <w:rsid w:val="00EE0C6E"/>
    <w:rsid w:val="00EE154F"/>
    <w:rsid w:val="00EE1C04"/>
    <w:rsid w:val="00EE25D1"/>
    <w:rsid w:val="00EE26C7"/>
    <w:rsid w:val="00EE2721"/>
    <w:rsid w:val="00EE2C3B"/>
    <w:rsid w:val="00EE38E4"/>
    <w:rsid w:val="00EE4057"/>
    <w:rsid w:val="00EE460D"/>
    <w:rsid w:val="00EE5098"/>
    <w:rsid w:val="00EE6819"/>
    <w:rsid w:val="00EE744B"/>
    <w:rsid w:val="00EE78FE"/>
    <w:rsid w:val="00EF00B6"/>
    <w:rsid w:val="00EF04EC"/>
    <w:rsid w:val="00EF0786"/>
    <w:rsid w:val="00EF14FA"/>
    <w:rsid w:val="00EF168E"/>
    <w:rsid w:val="00EF183A"/>
    <w:rsid w:val="00EF1CF1"/>
    <w:rsid w:val="00EF21A6"/>
    <w:rsid w:val="00EF29E4"/>
    <w:rsid w:val="00EF2D54"/>
    <w:rsid w:val="00EF3EFD"/>
    <w:rsid w:val="00EF5401"/>
    <w:rsid w:val="00EF5708"/>
    <w:rsid w:val="00EF5B6C"/>
    <w:rsid w:val="00EF637E"/>
    <w:rsid w:val="00EF6678"/>
    <w:rsid w:val="00EF678C"/>
    <w:rsid w:val="00EF6BB9"/>
    <w:rsid w:val="00EF703A"/>
    <w:rsid w:val="00EF7786"/>
    <w:rsid w:val="00EF7817"/>
    <w:rsid w:val="00EF7CCD"/>
    <w:rsid w:val="00EF7EEA"/>
    <w:rsid w:val="00F006E5"/>
    <w:rsid w:val="00F01A03"/>
    <w:rsid w:val="00F01BDD"/>
    <w:rsid w:val="00F032F7"/>
    <w:rsid w:val="00F03537"/>
    <w:rsid w:val="00F041FF"/>
    <w:rsid w:val="00F0468A"/>
    <w:rsid w:val="00F04814"/>
    <w:rsid w:val="00F04A07"/>
    <w:rsid w:val="00F04BA0"/>
    <w:rsid w:val="00F05415"/>
    <w:rsid w:val="00F079A0"/>
    <w:rsid w:val="00F1033D"/>
    <w:rsid w:val="00F10ABD"/>
    <w:rsid w:val="00F10CD9"/>
    <w:rsid w:val="00F10F1F"/>
    <w:rsid w:val="00F11F7A"/>
    <w:rsid w:val="00F11FA9"/>
    <w:rsid w:val="00F126F0"/>
    <w:rsid w:val="00F12B9C"/>
    <w:rsid w:val="00F12D49"/>
    <w:rsid w:val="00F1308D"/>
    <w:rsid w:val="00F13208"/>
    <w:rsid w:val="00F133CA"/>
    <w:rsid w:val="00F136D7"/>
    <w:rsid w:val="00F14254"/>
    <w:rsid w:val="00F14B2F"/>
    <w:rsid w:val="00F14DD2"/>
    <w:rsid w:val="00F16324"/>
    <w:rsid w:val="00F16AAE"/>
    <w:rsid w:val="00F16B45"/>
    <w:rsid w:val="00F203B8"/>
    <w:rsid w:val="00F20C53"/>
    <w:rsid w:val="00F217A4"/>
    <w:rsid w:val="00F21BA9"/>
    <w:rsid w:val="00F21BAB"/>
    <w:rsid w:val="00F22942"/>
    <w:rsid w:val="00F22955"/>
    <w:rsid w:val="00F22DAF"/>
    <w:rsid w:val="00F23023"/>
    <w:rsid w:val="00F23444"/>
    <w:rsid w:val="00F244F6"/>
    <w:rsid w:val="00F24C86"/>
    <w:rsid w:val="00F24CBF"/>
    <w:rsid w:val="00F24E1B"/>
    <w:rsid w:val="00F24F52"/>
    <w:rsid w:val="00F24F7A"/>
    <w:rsid w:val="00F254F1"/>
    <w:rsid w:val="00F25CCA"/>
    <w:rsid w:val="00F25EA4"/>
    <w:rsid w:val="00F2639A"/>
    <w:rsid w:val="00F26C86"/>
    <w:rsid w:val="00F26E4F"/>
    <w:rsid w:val="00F26FE8"/>
    <w:rsid w:val="00F272EA"/>
    <w:rsid w:val="00F27E0D"/>
    <w:rsid w:val="00F30297"/>
    <w:rsid w:val="00F313A0"/>
    <w:rsid w:val="00F32D36"/>
    <w:rsid w:val="00F32E85"/>
    <w:rsid w:val="00F33023"/>
    <w:rsid w:val="00F34053"/>
    <w:rsid w:val="00F346C0"/>
    <w:rsid w:val="00F3489A"/>
    <w:rsid w:val="00F34AF1"/>
    <w:rsid w:val="00F3539A"/>
    <w:rsid w:val="00F355D2"/>
    <w:rsid w:val="00F36C38"/>
    <w:rsid w:val="00F36E7E"/>
    <w:rsid w:val="00F41150"/>
    <w:rsid w:val="00F4115A"/>
    <w:rsid w:val="00F41B62"/>
    <w:rsid w:val="00F42018"/>
    <w:rsid w:val="00F42180"/>
    <w:rsid w:val="00F4237F"/>
    <w:rsid w:val="00F427E8"/>
    <w:rsid w:val="00F42AFF"/>
    <w:rsid w:val="00F42ED2"/>
    <w:rsid w:val="00F42FBD"/>
    <w:rsid w:val="00F4318F"/>
    <w:rsid w:val="00F43AB9"/>
    <w:rsid w:val="00F43C84"/>
    <w:rsid w:val="00F44161"/>
    <w:rsid w:val="00F44288"/>
    <w:rsid w:val="00F44390"/>
    <w:rsid w:val="00F45E03"/>
    <w:rsid w:val="00F46A2E"/>
    <w:rsid w:val="00F46CF1"/>
    <w:rsid w:val="00F47038"/>
    <w:rsid w:val="00F47D51"/>
    <w:rsid w:val="00F50991"/>
    <w:rsid w:val="00F51B3B"/>
    <w:rsid w:val="00F52605"/>
    <w:rsid w:val="00F529F2"/>
    <w:rsid w:val="00F52F4A"/>
    <w:rsid w:val="00F53D7B"/>
    <w:rsid w:val="00F546F1"/>
    <w:rsid w:val="00F54A17"/>
    <w:rsid w:val="00F55624"/>
    <w:rsid w:val="00F55724"/>
    <w:rsid w:val="00F557E6"/>
    <w:rsid w:val="00F55929"/>
    <w:rsid w:val="00F55BAF"/>
    <w:rsid w:val="00F55E0D"/>
    <w:rsid w:val="00F563D1"/>
    <w:rsid w:val="00F56837"/>
    <w:rsid w:val="00F56C1B"/>
    <w:rsid w:val="00F57A06"/>
    <w:rsid w:val="00F57D5E"/>
    <w:rsid w:val="00F608AD"/>
    <w:rsid w:val="00F60958"/>
    <w:rsid w:val="00F60B39"/>
    <w:rsid w:val="00F60B91"/>
    <w:rsid w:val="00F614C8"/>
    <w:rsid w:val="00F61A6D"/>
    <w:rsid w:val="00F620BE"/>
    <w:rsid w:val="00F6211F"/>
    <w:rsid w:val="00F62744"/>
    <w:rsid w:val="00F63B08"/>
    <w:rsid w:val="00F64167"/>
    <w:rsid w:val="00F6427A"/>
    <w:rsid w:val="00F654F0"/>
    <w:rsid w:val="00F67365"/>
    <w:rsid w:val="00F67E57"/>
    <w:rsid w:val="00F67FF6"/>
    <w:rsid w:val="00F70618"/>
    <w:rsid w:val="00F7197D"/>
    <w:rsid w:val="00F71D49"/>
    <w:rsid w:val="00F722B1"/>
    <w:rsid w:val="00F72ECE"/>
    <w:rsid w:val="00F74550"/>
    <w:rsid w:val="00F7455E"/>
    <w:rsid w:val="00F746F7"/>
    <w:rsid w:val="00F74F78"/>
    <w:rsid w:val="00F7581C"/>
    <w:rsid w:val="00F75C48"/>
    <w:rsid w:val="00F76D5E"/>
    <w:rsid w:val="00F76E62"/>
    <w:rsid w:val="00F803C4"/>
    <w:rsid w:val="00F80A14"/>
    <w:rsid w:val="00F80C53"/>
    <w:rsid w:val="00F80DBF"/>
    <w:rsid w:val="00F81116"/>
    <w:rsid w:val="00F815CB"/>
    <w:rsid w:val="00F81FC1"/>
    <w:rsid w:val="00F8207A"/>
    <w:rsid w:val="00F83341"/>
    <w:rsid w:val="00F837C3"/>
    <w:rsid w:val="00F83963"/>
    <w:rsid w:val="00F84144"/>
    <w:rsid w:val="00F843AB"/>
    <w:rsid w:val="00F84C5C"/>
    <w:rsid w:val="00F84D4C"/>
    <w:rsid w:val="00F8518E"/>
    <w:rsid w:val="00F8590B"/>
    <w:rsid w:val="00F85B3F"/>
    <w:rsid w:val="00F85F08"/>
    <w:rsid w:val="00F85F94"/>
    <w:rsid w:val="00F86D0C"/>
    <w:rsid w:val="00F86DA1"/>
    <w:rsid w:val="00F873C7"/>
    <w:rsid w:val="00F87C79"/>
    <w:rsid w:val="00F9077C"/>
    <w:rsid w:val="00F91301"/>
    <w:rsid w:val="00F91D21"/>
    <w:rsid w:val="00F92459"/>
    <w:rsid w:val="00F93352"/>
    <w:rsid w:val="00F9492D"/>
    <w:rsid w:val="00F94E1B"/>
    <w:rsid w:val="00F96746"/>
    <w:rsid w:val="00F96FA4"/>
    <w:rsid w:val="00F975A6"/>
    <w:rsid w:val="00F979D5"/>
    <w:rsid w:val="00F97B69"/>
    <w:rsid w:val="00FA0022"/>
    <w:rsid w:val="00FA01CE"/>
    <w:rsid w:val="00FA0AC8"/>
    <w:rsid w:val="00FA0BB1"/>
    <w:rsid w:val="00FA0FAA"/>
    <w:rsid w:val="00FA1190"/>
    <w:rsid w:val="00FA1B21"/>
    <w:rsid w:val="00FA1DF5"/>
    <w:rsid w:val="00FA2679"/>
    <w:rsid w:val="00FA310C"/>
    <w:rsid w:val="00FA3217"/>
    <w:rsid w:val="00FA352C"/>
    <w:rsid w:val="00FA3675"/>
    <w:rsid w:val="00FA39EE"/>
    <w:rsid w:val="00FA413A"/>
    <w:rsid w:val="00FA5530"/>
    <w:rsid w:val="00FA6088"/>
    <w:rsid w:val="00FA666E"/>
    <w:rsid w:val="00FA68A2"/>
    <w:rsid w:val="00FA7DE0"/>
    <w:rsid w:val="00FB157E"/>
    <w:rsid w:val="00FB15C4"/>
    <w:rsid w:val="00FB1D22"/>
    <w:rsid w:val="00FB205B"/>
    <w:rsid w:val="00FB2C84"/>
    <w:rsid w:val="00FB2CBE"/>
    <w:rsid w:val="00FB315D"/>
    <w:rsid w:val="00FB39A8"/>
    <w:rsid w:val="00FB48A6"/>
    <w:rsid w:val="00FB5591"/>
    <w:rsid w:val="00FB55DA"/>
    <w:rsid w:val="00FB5E93"/>
    <w:rsid w:val="00FB6118"/>
    <w:rsid w:val="00FB63F4"/>
    <w:rsid w:val="00FB664E"/>
    <w:rsid w:val="00FB7028"/>
    <w:rsid w:val="00FB76D4"/>
    <w:rsid w:val="00FB7870"/>
    <w:rsid w:val="00FC00A2"/>
    <w:rsid w:val="00FC0598"/>
    <w:rsid w:val="00FC09F2"/>
    <w:rsid w:val="00FC1449"/>
    <w:rsid w:val="00FC19AE"/>
    <w:rsid w:val="00FC2405"/>
    <w:rsid w:val="00FC3115"/>
    <w:rsid w:val="00FC46D3"/>
    <w:rsid w:val="00FC490B"/>
    <w:rsid w:val="00FC4934"/>
    <w:rsid w:val="00FC5831"/>
    <w:rsid w:val="00FC5A0F"/>
    <w:rsid w:val="00FC607A"/>
    <w:rsid w:val="00FC658B"/>
    <w:rsid w:val="00FC70E7"/>
    <w:rsid w:val="00FD029A"/>
    <w:rsid w:val="00FD02E8"/>
    <w:rsid w:val="00FD0DE7"/>
    <w:rsid w:val="00FD11B6"/>
    <w:rsid w:val="00FD21F7"/>
    <w:rsid w:val="00FD26E8"/>
    <w:rsid w:val="00FD432D"/>
    <w:rsid w:val="00FD4531"/>
    <w:rsid w:val="00FD57C0"/>
    <w:rsid w:val="00FD5C57"/>
    <w:rsid w:val="00FD5DC1"/>
    <w:rsid w:val="00FD6C45"/>
    <w:rsid w:val="00FD6DE3"/>
    <w:rsid w:val="00FD7617"/>
    <w:rsid w:val="00FD7F18"/>
    <w:rsid w:val="00FE0191"/>
    <w:rsid w:val="00FE04E3"/>
    <w:rsid w:val="00FE0C65"/>
    <w:rsid w:val="00FE0D1F"/>
    <w:rsid w:val="00FE15BC"/>
    <w:rsid w:val="00FE1BB6"/>
    <w:rsid w:val="00FE23B2"/>
    <w:rsid w:val="00FE244B"/>
    <w:rsid w:val="00FE25B3"/>
    <w:rsid w:val="00FE31AD"/>
    <w:rsid w:val="00FE4742"/>
    <w:rsid w:val="00FE49AD"/>
    <w:rsid w:val="00FE4E3B"/>
    <w:rsid w:val="00FE4ED1"/>
    <w:rsid w:val="00FE5679"/>
    <w:rsid w:val="00FE5CE3"/>
    <w:rsid w:val="00FE622D"/>
    <w:rsid w:val="00FE6810"/>
    <w:rsid w:val="00FE7561"/>
    <w:rsid w:val="00FF07B8"/>
    <w:rsid w:val="00FF09BC"/>
    <w:rsid w:val="00FF0DAB"/>
    <w:rsid w:val="00FF0E01"/>
    <w:rsid w:val="00FF0E89"/>
    <w:rsid w:val="00FF1540"/>
    <w:rsid w:val="00FF20BC"/>
    <w:rsid w:val="00FF2488"/>
    <w:rsid w:val="00FF24F8"/>
    <w:rsid w:val="00FF2560"/>
    <w:rsid w:val="00FF2661"/>
    <w:rsid w:val="00FF3258"/>
    <w:rsid w:val="00FF3851"/>
    <w:rsid w:val="00FF3F16"/>
    <w:rsid w:val="00FF4E2F"/>
    <w:rsid w:val="00FF53A8"/>
    <w:rsid w:val="00FF5C9B"/>
    <w:rsid w:val="00FF5FB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margin;mso-position-vertical:center;mso-position-vertical-relative:margin" o:allowincell="f" fillcolor="silver" stroke="f">
      <v:fill color="silver" opacity=".5"/>
      <v:stroke on="f"/>
    </o:shapedefaults>
    <o:shapelayout v:ext="edit">
      <o:idmap v:ext="edit" data="1"/>
    </o:shapelayout>
  </w:shapeDefaults>
  <w:decimalSymbol w:val="."/>
  <w:listSeparator w:val=","/>
  <w14:docId w14:val="1875E740"/>
  <w15:docId w15:val="{AD054956-6141-4573-A72F-34DD675E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A8F"/>
    <w:rPr>
      <w:sz w:val="24"/>
      <w:szCs w:val="24"/>
      <w:lang w:val="en-US" w:eastAsia="en-US"/>
    </w:rPr>
  </w:style>
  <w:style w:type="paragraph" w:styleId="Heading1">
    <w:name w:val="heading 1"/>
    <w:basedOn w:val="Normal"/>
    <w:next w:val="Normal"/>
    <w:qFormat/>
    <w:rsid w:val="00ED4F3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4F38"/>
    <w:pPr>
      <w:keepNext/>
      <w:ind w:left="720"/>
      <w:jc w:val="both"/>
      <w:outlineLvl w:val="1"/>
    </w:pPr>
    <w:rPr>
      <w:rFonts w:ascii="Arial" w:hAnsi="Arial" w:cs="Arial"/>
      <w:b/>
      <w:bCs/>
      <w:sz w:val="22"/>
      <w:szCs w:val="22"/>
    </w:rPr>
  </w:style>
  <w:style w:type="paragraph" w:styleId="Heading3">
    <w:name w:val="heading 3"/>
    <w:basedOn w:val="Normal"/>
    <w:next w:val="Normal"/>
    <w:qFormat/>
    <w:rsid w:val="00ED4F38"/>
    <w:pPr>
      <w:keepNext/>
      <w:spacing w:before="240" w:after="60"/>
      <w:outlineLvl w:val="2"/>
    </w:pPr>
    <w:rPr>
      <w:rFonts w:ascii="Arial" w:hAnsi="Arial" w:cs="Arial"/>
      <w:b/>
      <w:bCs/>
      <w:sz w:val="26"/>
      <w:szCs w:val="26"/>
    </w:rPr>
  </w:style>
  <w:style w:type="paragraph" w:styleId="Heading4">
    <w:name w:val="heading 4"/>
    <w:basedOn w:val="Normal"/>
    <w:next w:val="Normal"/>
    <w:qFormat/>
    <w:rsid w:val="00ED4F38"/>
    <w:pPr>
      <w:keepNext/>
      <w:tabs>
        <w:tab w:val="left" w:pos="540"/>
      </w:tabs>
      <w:jc w:val="right"/>
      <w:outlineLvl w:val="3"/>
    </w:pPr>
    <w:rPr>
      <w:rFonts w:ascii="Arial" w:hAnsi="Arial" w:cs="Arial"/>
      <w:szCs w:val="22"/>
      <w:u w:val="double"/>
    </w:rPr>
  </w:style>
  <w:style w:type="paragraph" w:styleId="Heading5">
    <w:name w:val="heading 5"/>
    <w:basedOn w:val="Normal"/>
    <w:next w:val="Normal"/>
    <w:qFormat/>
    <w:rsid w:val="00ED4F38"/>
    <w:pPr>
      <w:keepNext/>
      <w:jc w:val="both"/>
      <w:outlineLvl w:val="4"/>
    </w:pPr>
    <w:rPr>
      <w:b/>
      <w:bCs/>
      <w:szCs w:val="22"/>
    </w:rPr>
  </w:style>
  <w:style w:type="paragraph" w:styleId="Heading6">
    <w:name w:val="heading 6"/>
    <w:basedOn w:val="Normal"/>
    <w:next w:val="Normal"/>
    <w:qFormat/>
    <w:rsid w:val="00ED4F38"/>
    <w:pPr>
      <w:spacing w:before="240" w:after="60"/>
      <w:outlineLvl w:val="5"/>
    </w:pPr>
    <w:rPr>
      <w:b/>
      <w:bCs/>
      <w:sz w:val="22"/>
      <w:szCs w:val="22"/>
    </w:rPr>
  </w:style>
  <w:style w:type="paragraph" w:styleId="Heading7">
    <w:name w:val="heading 7"/>
    <w:basedOn w:val="Normal"/>
    <w:next w:val="Normal"/>
    <w:qFormat/>
    <w:rsid w:val="00ED4F3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D4F38"/>
  </w:style>
  <w:style w:type="paragraph" w:styleId="BodyText2">
    <w:name w:val="Body Text 2"/>
    <w:basedOn w:val="Normal"/>
    <w:semiHidden/>
    <w:rsid w:val="00ED4F38"/>
    <w:pPr>
      <w:spacing w:after="120" w:line="480" w:lineRule="auto"/>
    </w:pPr>
  </w:style>
  <w:style w:type="paragraph" w:styleId="BlockText">
    <w:name w:val="Block Text"/>
    <w:basedOn w:val="Normal"/>
    <w:rsid w:val="00ED4F38"/>
    <w:pPr>
      <w:ind w:left="630" w:right="72"/>
      <w:jc w:val="both"/>
    </w:pPr>
    <w:rPr>
      <w:rFonts w:ascii="Arial" w:hAnsi="Arial" w:cs="Arial"/>
    </w:rPr>
  </w:style>
  <w:style w:type="paragraph" w:styleId="BodyText">
    <w:name w:val="Body Text"/>
    <w:aliases w:val=" Char"/>
    <w:basedOn w:val="Normal"/>
    <w:semiHidden/>
    <w:rsid w:val="00ED4F38"/>
    <w:pPr>
      <w:spacing w:after="120"/>
    </w:pPr>
  </w:style>
  <w:style w:type="paragraph" w:styleId="BodyTextIndent">
    <w:name w:val="Body Text Indent"/>
    <w:basedOn w:val="Normal"/>
    <w:semiHidden/>
    <w:rsid w:val="00ED4F38"/>
    <w:pPr>
      <w:spacing w:after="120"/>
      <w:ind w:left="360"/>
    </w:pPr>
  </w:style>
  <w:style w:type="paragraph" w:styleId="BodyTextIndent2">
    <w:name w:val="Body Text Indent 2"/>
    <w:basedOn w:val="Normal"/>
    <w:semiHidden/>
    <w:rsid w:val="00ED4F38"/>
    <w:pPr>
      <w:spacing w:after="120" w:line="480" w:lineRule="auto"/>
      <w:ind w:left="360"/>
    </w:pPr>
  </w:style>
  <w:style w:type="paragraph" w:styleId="BodyTextIndent3">
    <w:name w:val="Body Text Indent 3"/>
    <w:basedOn w:val="Normal"/>
    <w:link w:val="BodyTextIndent3Char"/>
    <w:rsid w:val="00ED4F38"/>
    <w:pPr>
      <w:spacing w:after="120"/>
      <w:ind w:left="360"/>
    </w:pPr>
    <w:rPr>
      <w:sz w:val="16"/>
      <w:szCs w:val="16"/>
    </w:rPr>
  </w:style>
  <w:style w:type="character" w:customStyle="1" w:styleId="CharCharChar">
    <w:name w:val="Char Char Char"/>
    <w:rsid w:val="00ED4F38"/>
    <w:rPr>
      <w:sz w:val="24"/>
      <w:szCs w:val="24"/>
      <w:lang w:val="en-US" w:eastAsia="en-US" w:bidi="ar-SA"/>
    </w:rPr>
  </w:style>
  <w:style w:type="paragraph" w:styleId="BodyText3">
    <w:name w:val="Body Text 3"/>
    <w:basedOn w:val="Normal"/>
    <w:semiHidden/>
    <w:rsid w:val="00ED4F38"/>
    <w:pPr>
      <w:spacing w:after="120"/>
    </w:pPr>
    <w:rPr>
      <w:sz w:val="16"/>
      <w:szCs w:val="16"/>
    </w:rPr>
  </w:style>
  <w:style w:type="character" w:styleId="Strong">
    <w:name w:val="Strong"/>
    <w:uiPriority w:val="22"/>
    <w:qFormat/>
    <w:rsid w:val="00ED4F38"/>
    <w:rPr>
      <w:b/>
      <w:bCs/>
    </w:rPr>
  </w:style>
  <w:style w:type="paragraph" w:styleId="Footer">
    <w:name w:val="footer"/>
    <w:basedOn w:val="Normal"/>
    <w:link w:val="FooterChar"/>
    <w:uiPriority w:val="99"/>
    <w:rsid w:val="00ED4F38"/>
    <w:pPr>
      <w:tabs>
        <w:tab w:val="center" w:pos="4320"/>
        <w:tab w:val="right" w:pos="8640"/>
      </w:tabs>
    </w:pPr>
  </w:style>
  <w:style w:type="character" w:styleId="PageNumber">
    <w:name w:val="page number"/>
    <w:basedOn w:val="DefaultParagraphFont"/>
    <w:semiHidden/>
    <w:rsid w:val="00ED4F38"/>
  </w:style>
  <w:style w:type="paragraph" w:styleId="Header">
    <w:name w:val="header"/>
    <w:basedOn w:val="Normal"/>
    <w:link w:val="HeaderChar"/>
    <w:uiPriority w:val="99"/>
    <w:rsid w:val="00ED4F38"/>
    <w:pPr>
      <w:tabs>
        <w:tab w:val="center" w:pos="4320"/>
        <w:tab w:val="right" w:pos="8640"/>
      </w:tabs>
    </w:pPr>
  </w:style>
  <w:style w:type="paragraph" w:styleId="NormalWeb">
    <w:name w:val="Normal (Web)"/>
    <w:basedOn w:val="Normal"/>
    <w:uiPriority w:val="99"/>
    <w:rsid w:val="00ED4F38"/>
    <w:pPr>
      <w:spacing w:before="100" w:beforeAutospacing="1" w:after="100" w:afterAutospacing="1" w:line="240" w:lineRule="atLeast"/>
    </w:pPr>
    <w:rPr>
      <w:rFonts w:ascii="Verdana" w:hAnsi="Verdana"/>
      <w:color w:val="000000"/>
      <w:sz w:val="17"/>
      <w:szCs w:val="17"/>
    </w:rPr>
  </w:style>
  <w:style w:type="paragraph" w:styleId="BalloonText">
    <w:name w:val="Balloon Text"/>
    <w:basedOn w:val="Normal"/>
    <w:semiHidden/>
    <w:rsid w:val="00ED4F38"/>
    <w:rPr>
      <w:rFonts w:ascii="Tahoma" w:hAnsi="Tahoma" w:cs="Tahoma"/>
      <w:sz w:val="16"/>
      <w:szCs w:val="16"/>
    </w:rPr>
  </w:style>
  <w:style w:type="paragraph" w:customStyle="1" w:styleId="timesnewroman">
    <w:name w:val="times new roman"/>
    <w:basedOn w:val="Normal"/>
    <w:rsid w:val="00ED4F38"/>
    <w:pPr>
      <w:widowControl w:val="0"/>
      <w:autoSpaceDE w:val="0"/>
      <w:autoSpaceDN w:val="0"/>
      <w:adjustRightInd w:val="0"/>
    </w:pPr>
    <w:rPr>
      <w:b/>
      <w:bCs/>
    </w:rPr>
  </w:style>
  <w:style w:type="paragraph" w:styleId="ListParagraph">
    <w:name w:val="List Paragraph"/>
    <w:aliases w:val="Resume Title,Colorful List - Accent 11,List Paragraph1,Topic Sentence"/>
    <w:basedOn w:val="Normal"/>
    <w:link w:val="ListParagraphChar"/>
    <w:uiPriority w:val="34"/>
    <w:qFormat/>
    <w:rsid w:val="00ED4F38"/>
    <w:pPr>
      <w:ind w:left="720"/>
      <w:contextualSpacing/>
    </w:pPr>
  </w:style>
  <w:style w:type="character" w:styleId="CommentReference">
    <w:name w:val="annotation reference"/>
    <w:uiPriority w:val="99"/>
    <w:semiHidden/>
    <w:rsid w:val="00ED4F38"/>
    <w:rPr>
      <w:sz w:val="16"/>
      <w:szCs w:val="16"/>
    </w:rPr>
  </w:style>
  <w:style w:type="paragraph" w:styleId="CommentText">
    <w:name w:val="annotation text"/>
    <w:basedOn w:val="Normal"/>
    <w:link w:val="CommentTextChar"/>
    <w:uiPriority w:val="99"/>
    <w:semiHidden/>
    <w:rsid w:val="00ED4F38"/>
    <w:rPr>
      <w:sz w:val="20"/>
      <w:szCs w:val="20"/>
    </w:rPr>
  </w:style>
  <w:style w:type="paragraph" w:styleId="CommentSubject">
    <w:name w:val="annotation subject"/>
    <w:basedOn w:val="CommentText"/>
    <w:next w:val="CommentText"/>
    <w:semiHidden/>
    <w:rsid w:val="00ED4F38"/>
    <w:rPr>
      <w:b/>
      <w:bCs/>
    </w:rPr>
  </w:style>
  <w:style w:type="character" w:customStyle="1" w:styleId="CharCharChar2">
    <w:name w:val="Char Char Char2"/>
    <w:rsid w:val="00ED4F38"/>
    <w:rPr>
      <w:sz w:val="24"/>
      <w:szCs w:val="24"/>
      <w:lang w:val="en-US" w:eastAsia="en-US" w:bidi="ar-SA"/>
    </w:rPr>
  </w:style>
  <w:style w:type="paragraph" w:customStyle="1" w:styleId="body">
    <w:name w:val="body"/>
    <w:basedOn w:val="Normal"/>
    <w:rsid w:val="00ED4F38"/>
    <w:pPr>
      <w:autoSpaceDE w:val="0"/>
      <w:autoSpaceDN w:val="0"/>
      <w:spacing w:before="144" w:after="144"/>
      <w:ind w:firstLine="432"/>
      <w:jc w:val="both"/>
    </w:pPr>
    <w:rPr>
      <w:rFonts w:ascii="Arial" w:eastAsia="Arial Unicode MS" w:hAnsi="Arial" w:cs="Arial"/>
      <w:color w:val="000000"/>
    </w:rPr>
  </w:style>
  <w:style w:type="paragraph" w:styleId="Revision">
    <w:name w:val="Revision"/>
    <w:hidden/>
    <w:semiHidden/>
    <w:rsid w:val="00ED4F38"/>
    <w:rPr>
      <w:sz w:val="24"/>
      <w:szCs w:val="24"/>
      <w:lang w:val="en-US" w:eastAsia="en-US"/>
    </w:rPr>
  </w:style>
  <w:style w:type="paragraph" w:customStyle="1" w:styleId="NoSpacing1">
    <w:name w:val="No Spacing1"/>
    <w:aliases w:val="Spacing"/>
    <w:qFormat/>
    <w:rsid w:val="00ED4F38"/>
    <w:rPr>
      <w:rFonts w:ascii="Calibri" w:eastAsia="Calibri" w:hAnsi="Calibri"/>
      <w:sz w:val="22"/>
      <w:szCs w:val="22"/>
      <w:lang w:val="en-US" w:eastAsia="en-US"/>
    </w:rPr>
  </w:style>
  <w:style w:type="character" w:customStyle="1" w:styleId="apple-converted-space">
    <w:name w:val="apple-converted-space"/>
    <w:basedOn w:val="DefaultParagraphFont"/>
    <w:rsid w:val="00ED4F38"/>
  </w:style>
  <w:style w:type="character" w:styleId="Emphasis">
    <w:name w:val="Emphasis"/>
    <w:uiPriority w:val="20"/>
    <w:qFormat/>
    <w:rsid w:val="00ED4F38"/>
    <w:rPr>
      <w:i/>
      <w:iCs/>
    </w:rPr>
  </w:style>
  <w:style w:type="character" w:customStyle="1" w:styleId="yiv4034761807apple-style-span">
    <w:name w:val="yiv4034761807apple-style-span"/>
    <w:basedOn w:val="DefaultParagraphFont"/>
    <w:rsid w:val="00ED4F38"/>
  </w:style>
  <w:style w:type="character" w:customStyle="1" w:styleId="BodyTextChar">
    <w:name w:val="Body Text Char"/>
    <w:aliases w:val=" Char Char"/>
    <w:rsid w:val="00ED4F38"/>
    <w:rPr>
      <w:rFonts w:ascii="Times New Roman" w:hAnsi="Times New Roman" w:cs="Times New Roman"/>
      <w:sz w:val="24"/>
      <w:szCs w:val="24"/>
      <w:lang w:val="en-US"/>
    </w:rPr>
  </w:style>
  <w:style w:type="paragraph" w:styleId="Title">
    <w:name w:val="Title"/>
    <w:basedOn w:val="Normal"/>
    <w:link w:val="TitleChar"/>
    <w:qFormat/>
    <w:rsid w:val="00ED4F38"/>
    <w:pPr>
      <w:tabs>
        <w:tab w:val="left" w:pos="540"/>
        <w:tab w:val="left" w:pos="6660"/>
      </w:tabs>
      <w:jc w:val="center"/>
    </w:pPr>
    <w:rPr>
      <w:rFonts w:ascii="Arial" w:hAnsi="Arial" w:cs="Arial"/>
      <w:b/>
      <w:bCs/>
      <w:sz w:val="22"/>
      <w:szCs w:val="22"/>
    </w:rPr>
  </w:style>
  <w:style w:type="character" w:customStyle="1" w:styleId="WW8Num3z0">
    <w:name w:val="WW8Num3z0"/>
    <w:rsid w:val="00280E6A"/>
    <w:rPr>
      <w:rFonts w:ascii="Symbol" w:eastAsia="Times New Roman" w:hAnsi="Symbol" w:cs="Arial"/>
    </w:rPr>
  </w:style>
  <w:style w:type="paragraph" w:customStyle="1" w:styleId="p54">
    <w:name w:val="p54"/>
    <w:basedOn w:val="Normal"/>
    <w:rsid w:val="002A1090"/>
    <w:pPr>
      <w:spacing w:before="100" w:beforeAutospacing="1" w:after="100" w:afterAutospacing="1"/>
    </w:pPr>
    <w:rPr>
      <w:lang w:val="en-PH" w:eastAsia="en-PH"/>
    </w:rPr>
  </w:style>
  <w:style w:type="paragraph" w:customStyle="1" w:styleId="Default">
    <w:name w:val="Default"/>
    <w:rsid w:val="004B3706"/>
    <w:pPr>
      <w:autoSpaceDE w:val="0"/>
      <w:autoSpaceDN w:val="0"/>
      <w:adjustRightInd w:val="0"/>
    </w:pPr>
    <w:rPr>
      <w:rFonts w:ascii="Arial" w:eastAsia="Calibri" w:hAnsi="Arial" w:cs="Arial"/>
      <w:color w:val="000000"/>
      <w:sz w:val="24"/>
      <w:szCs w:val="24"/>
      <w:lang w:eastAsia="en-US"/>
    </w:rPr>
  </w:style>
  <w:style w:type="paragraph" w:styleId="PlainText">
    <w:name w:val="Plain Text"/>
    <w:basedOn w:val="Normal"/>
    <w:link w:val="PlainTextChar"/>
    <w:uiPriority w:val="99"/>
    <w:unhideWhenUsed/>
    <w:rsid w:val="00774A74"/>
    <w:rPr>
      <w:rFonts w:ascii="Consolas" w:eastAsia="Calibri" w:hAnsi="Consolas"/>
      <w:sz w:val="21"/>
      <w:szCs w:val="21"/>
      <w:lang w:val="x-none"/>
    </w:rPr>
  </w:style>
  <w:style w:type="character" w:customStyle="1" w:styleId="PlainTextChar">
    <w:name w:val="Plain Text Char"/>
    <w:link w:val="PlainText"/>
    <w:uiPriority w:val="99"/>
    <w:rsid w:val="00774A74"/>
    <w:rPr>
      <w:rFonts w:ascii="Consolas" w:eastAsia="Calibri" w:hAnsi="Consolas"/>
      <w:sz w:val="21"/>
      <w:szCs w:val="21"/>
      <w:lang w:eastAsia="en-US"/>
    </w:rPr>
  </w:style>
  <w:style w:type="table" w:styleId="TableGrid">
    <w:name w:val="Table Grid"/>
    <w:basedOn w:val="TableNormal"/>
    <w:uiPriority w:val="39"/>
    <w:rsid w:val="00E6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44266A"/>
    <w:rPr>
      <w:lang w:val="en-US" w:eastAsia="en-US"/>
    </w:rPr>
  </w:style>
  <w:style w:type="paragraph" w:styleId="FootnoteText">
    <w:name w:val="footnote text"/>
    <w:basedOn w:val="Normal"/>
    <w:link w:val="FootnoteTextChar"/>
    <w:uiPriority w:val="99"/>
    <w:semiHidden/>
    <w:unhideWhenUsed/>
    <w:rsid w:val="006E4A8C"/>
    <w:pPr>
      <w:jc w:val="both"/>
    </w:pPr>
    <w:rPr>
      <w:rFonts w:ascii="Calibri" w:eastAsia="Calibri" w:hAnsi="Calibri"/>
      <w:sz w:val="20"/>
      <w:szCs w:val="20"/>
    </w:rPr>
  </w:style>
  <w:style w:type="character" w:customStyle="1" w:styleId="FootnoteTextChar">
    <w:name w:val="Footnote Text Char"/>
    <w:link w:val="FootnoteText"/>
    <w:uiPriority w:val="99"/>
    <w:semiHidden/>
    <w:rsid w:val="006E4A8C"/>
    <w:rPr>
      <w:rFonts w:ascii="Calibri" w:eastAsia="Calibri" w:hAnsi="Calibri"/>
      <w:lang w:val="en-US" w:eastAsia="en-US"/>
    </w:rPr>
  </w:style>
  <w:style w:type="character" w:styleId="FootnoteReference">
    <w:name w:val="footnote reference"/>
    <w:uiPriority w:val="99"/>
    <w:semiHidden/>
    <w:unhideWhenUsed/>
    <w:rsid w:val="006E4A8C"/>
    <w:rPr>
      <w:vertAlign w:val="superscript"/>
    </w:rPr>
  </w:style>
  <w:style w:type="table" w:customStyle="1" w:styleId="TableGrid1">
    <w:name w:val="Table Grid1"/>
    <w:basedOn w:val="TableNormal"/>
    <w:next w:val="TableGrid"/>
    <w:uiPriority w:val="59"/>
    <w:rsid w:val="002449A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7905F2"/>
    <w:rPr>
      <w:rFonts w:ascii="Calibri" w:eastAsia="Calibri" w:hAnsi="Calibri"/>
      <w:color w:val="000000"/>
    </w:rPr>
    <w:tblPr>
      <w:tblStyleRowBandSize w:val="1"/>
      <w:tblStyleColBandSize w:val="1"/>
      <w:tblBorders>
        <w:top w:val="single" w:sz="8" w:space="0" w:color="4BACC6"/>
        <w:bottom w:val="single" w:sz="8" w:space="0" w:color="4BACC6"/>
      </w:tblBorders>
    </w:tblPr>
    <w:tblStylePr w:type="firstRow">
      <w:rPr>
        <w:rFonts w:ascii="Verdana" w:eastAsia="Times New Roman" w:hAnsi="Verdan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character" w:styleId="Hyperlink">
    <w:name w:val="Hyperlink"/>
    <w:uiPriority w:val="99"/>
    <w:semiHidden/>
    <w:unhideWhenUsed/>
    <w:rsid w:val="00D77478"/>
    <w:rPr>
      <w:color w:val="0000FF"/>
      <w:u w:val="single"/>
    </w:rPr>
  </w:style>
  <w:style w:type="character" w:customStyle="1" w:styleId="match">
    <w:name w:val="match"/>
    <w:basedOn w:val="DefaultParagraphFont"/>
    <w:rsid w:val="00D77478"/>
  </w:style>
  <w:style w:type="numbering" w:customStyle="1" w:styleId="Style1">
    <w:name w:val="Style1"/>
    <w:uiPriority w:val="99"/>
    <w:rsid w:val="003B4E46"/>
    <w:pPr>
      <w:numPr>
        <w:numId w:val="1"/>
      </w:numPr>
    </w:pPr>
  </w:style>
  <w:style w:type="character" w:customStyle="1" w:styleId="ListParagraphChar">
    <w:name w:val="List Paragraph Char"/>
    <w:aliases w:val="Resume Title Char,Colorful List - Accent 11 Char,List Paragraph1 Char,Topic Sentence Char"/>
    <w:link w:val="ListParagraph"/>
    <w:uiPriority w:val="34"/>
    <w:rsid w:val="001721AE"/>
    <w:rPr>
      <w:sz w:val="24"/>
      <w:szCs w:val="24"/>
      <w:lang w:val="en-US" w:eastAsia="en-US"/>
    </w:rPr>
  </w:style>
  <w:style w:type="character" w:customStyle="1" w:styleId="BodyTextIndent3Char">
    <w:name w:val="Body Text Indent 3 Char"/>
    <w:link w:val="BodyTextIndent3"/>
    <w:rsid w:val="001721AE"/>
    <w:rPr>
      <w:sz w:val="16"/>
      <w:szCs w:val="16"/>
      <w:lang w:val="en-US" w:eastAsia="en-US"/>
    </w:rPr>
  </w:style>
  <w:style w:type="character" w:customStyle="1" w:styleId="normalbody">
    <w:name w:val="normalbody"/>
    <w:rsid w:val="00960D79"/>
  </w:style>
  <w:style w:type="character" w:customStyle="1" w:styleId="FooterChar">
    <w:name w:val="Footer Char"/>
    <w:link w:val="Footer"/>
    <w:uiPriority w:val="99"/>
    <w:rsid w:val="00865248"/>
    <w:rPr>
      <w:sz w:val="24"/>
      <w:szCs w:val="24"/>
      <w:lang w:val="en-US" w:eastAsia="en-US"/>
    </w:rPr>
  </w:style>
  <w:style w:type="table" w:customStyle="1" w:styleId="TableGrid2">
    <w:name w:val="Table Grid2"/>
    <w:basedOn w:val="TableNormal"/>
    <w:next w:val="TableGrid"/>
    <w:uiPriority w:val="59"/>
    <w:rsid w:val="00A432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048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806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318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B4E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F6E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B11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F14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3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C70E0A"/>
    <w:pPr>
      <w:numPr>
        <w:numId w:val="6"/>
      </w:numPr>
    </w:pPr>
  </w:style>
  <w:style w:type="numbering" w:customStyle="1" w:styleId="Style3">
    <w:name w:val="Style3"/>
    <w:uiPriority w:val="99"/>
    <w:rsid w:val="00C70E0A"/>
    <w:pPr>
      <w:numPr>
        <w:numId w:val="7"/>
      </w:numPr>
    </w:pPr>
  </w:style>
  <w:style w:type="table" w:customStyle="1" w:styleId="TableGrid11">
    <w:name w:val="Table Grid11"/>
    <w:basedOn w:val="TableNormal"/>
    <w:next w:val="TableGrid"/>
    <w:uiPriority w:val="59"/>
    <w:rsid w:val="008D0D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531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16F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uiPriority w:val="99"/>
    <w:rsid w:val="00C16F74"/>
    <w:pPr>
      <w:numPr>
        <w:numId w:val="8"/>
      </w:numPr>
    </w:pPr>
  </w:style>
  <w:style w:type="table" w:customStyle="1" w:styleId="TableGrid14">
    <w:name w:val="Table Grid14"/>
    <w:basedOn w:val="TableNormal"/>
    <w:next w:val="TableGrid"/>
    <w:uiPriority w:val="59"/>
    <w:rsid w:val="00C16F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16F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C58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66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545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766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728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B52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042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884A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4775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623A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87FC3"/>
    <w:rPr>
      <w:lang w:val="en-US" w:eastAsia="en-US"/>
    </w:rPr>
  </w:style>
  <w:style w:type="character" w:customStyle="1" w:styleId="NoSpacingChar">
    <w:name w:val="No Spacing Char"/>
    <w:link w:val="NoSpacing"/>
    <w:uiPriority w:val="1"/>
    <w:locked/>
    <w:rsid w:val="00D87FC3"/>
    <w:rPr>
      <w:lang w:val="en-US" w:eastAsia="en-US"/>
    </w:rPr>
  </w:style>
  <w:style w:type="character" w:customStyle="1" w:styleId="HeaderChar">
    <w:name w:val="Header Char"/>
    <w:link w:val="Header"/>
    <w:uiPriority w:val="99"/>
    <w:rsid w:val="000948E5"/>
    <w:rPr>
      <w:sz w:val="24"/>
      <w:szCs w:val="24"/>
      <w:lang w:val="en-US" w:eastAsia="en-US"/>
    </w:rPr>
  </w:style>
  <w:style w:type="character" w:customStyle="1" w:styleId="TitleChar">
    <w:name w:val="Title Char"/>
    <w:link w:val="Title"/>
    <w:rsid w:val="00C76F7D"/>
    <w:rPr>
      <w:rFonts w:ascii="Arial" w:hAnsi="Arial" w:cs="Arial"/>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7488">
      <w:bodyDiv w:val="1"/>
      <w:marLeft w:val="0"/>
      <w:marRight w:val="0"/>
      <w:marTop w:val="0"/>
      <w:marBottom w:val="0"/>
      <w:divBdr>
        <w:top w:val="none" w:sz="0" w:space="0" w:color="auto"/>
        <w:left w:val="none" w:sz="0" w:space="0" w:color="auto"/>
        <w:bottom w:val="none" w:sz="0" w:space="0" w:color="auto"/>
        <w:right w:val="none" w:sz="0" w:space="0" w:color="auto"/>
      </w:divBdr>
    </w:div>
    <w:div w:id="224266108">
      <w:bodyDiv w:val="1"/>
      <w:marLeft w:val="0"/>
      <w:marRight w:val="0"/>
      <w:marTop w:val="0"/>
      <w:marBottom w:val="0"/>
      <w:divBdr>
        <w:top w:val="none" w:sz="0" w:space="0" w:color="auto"/>
        <w:left w:val="none" w:sz="0" w:space="0" w:color="auto"/>
        <w:bottom w:val="none" w:sz="0" w:space="0" w:color="auto"/>
        <w:right w:val="none" w:sz="0" w:space="0" w:color="auto"/>
      </w:divBdr>
    </w:div>
    <w:div w:id="296305270">
      <w:bodyDiv w:val="1"/>
      <w:marLeft w:val="0"/>
      <w:marRight w:val="0"/>
      <w:marTop w:val="0"/>
      <w:marBottom w:val="0"/>
      <w:divBdr>
        <w:top w:val="none" w:sz="0" w:space="0" w:color="auto"/>
        <w:left w:val="none" w:sz="0" w:space="0" w:color="auto"/>
        <w:bottom w:val="none" w:sz="0" w:space="0" w:color="auto"/>
        <w:right w:val="none" w:sz="0" w:space="0" w:color="auto"/>
      </w:divBdr>
    </w:div>
    <w:div w:id="306664179">
      <w:bodyDiv w:val="1"/>
      <w:marLeft w:val="0"/>
      <w:marRight w:val="0"/>
      <w:marTop w:val="0"/>
      <w:marBottom w:val="0"/>
      <w:divBdr>
        <w:top w:val="none" w:sz="0" w:space="0" w:color="auto"/>
        <w:left w:val="none" w:sz="0" w:space="0" w:color="auto"/>
        <w:bottom w:val="none" w:sz="0" w:space="0" w:color="auto"/>
        <w:right w:val="none" w:sz="0" w:space="0" w:color="auto"/>
      </w:divBdr>
    </w:div>
    <w:div w:id="575670206">
      <w:bodyDiv w:val="1"/>
      <w:marLeft w:val="0"/>
      <w:marRight w:val="0"/>
      <w:marTop w:val="0"/>
      <w:marBottom w:val="0"/>
      <w:divBdr>
        <w:top w:val="none" w:sz="0" w:space="0" w:color="auto"/>
        <w:left w:val="none" w:sz="0" w:space="0" w:color="auto"/>
        <w:bottom w:val="none" w:sz="0" w:space="0" w:color="auto"/>
        <w:right w:val="none" w:sz="0" w:space="0" w:color="auto"/>
      </w:divBdr>
    </w:div>
    <w:div w:id="685525558">
      <w:bodyDiv w:val="1"/>
      <w:marLeft w:val="0"/>
      <w:marRight w:val="0"/>
      <w:marTop w:val="0"/>
      <w:marBottom w:val="0"/>
      <w:divBdr>
        <w:top w:val="none" w:sz="0" w:space="0" w:color="auto"/>
        <w:left w:val="none" w:sz="0" w:space="0" w:color="auto"/>
        <w:bottom w:val="none" w:sz="0" w:space="0" w:color="auto"/>
        <w:right w:val="none" w:sz="0" w:space="0" w:color="auto"/>
      </w:divBdr>
    </w:div>
    <w:div w:id="782069455">
      <w:bodyDiv w:val="1"/>
      <w:marLeft w:val="0"/>
      <w:marRight w:val="0"/>
      <w:marTop w:val="0"/>
      <w:marBottom w:val="0"/>
      <w:divBdr>
        <w:top w:val="none" w:sz="0" w:space="0" w:color="auto"/>
        <w:left w:val="none" w:sz="0" w:space="0" w:color="auto"/>
        <w:bottom w:val="none" w:sz="0" w:space="0" w:color="auto"/>
        <w:right w:val="none" w:sz="0" w:space="0" w:color="auto"/>
      </w:divBdr>
    </w:div>
    <w:div w:id="883828395">
      <w:bodyDiv w:val="1"/>
      <w:marLeft w:val="0"/>
      <w:marRight w:val="0"/>
      <w:marTop w:val="0"/>
      <w:marBottom w:val="0"/>
      <w:divBdr>
        <w:top w:val="none" w:sz="0" w:space="0" w:color="auto"/>
        <w:left w:val="none" w:sz="0" w:space="0" w:color="auto"/>
        <w:bottom w:val="none" w:sz="0" w:space="0" w:color="auto"/>
        <w:right w:val="none" w:sz="0" w:space="0" w:color="auto"/>
      </w:divBdr>
    </w:div>
    <w:div w:id="908926897">
      <w:bodyDiv w:val="1"/>
      <w:marLeft w:val="0"/>
      <w:marRight w:val="0"/>
      <w:marTop w:val="0"/>
      <w:marBottom w:val="0"/>
      <w:divBdr>
        <w:top w:val="none" w:sz="0" w:space="0" w:color="auto"/>
        <w:left w:val="none" w:sz="0" w:space="0" w:color="auto"/>
        <w:bottom w:val="none" w:sz="0" w:space="0" w:color="auto"/>
        <w:right w:val="none" w:sz="0" w:space="0" w:color="auto"/>
      </w:divBdr>
    </w:div>
    <w:div w:id="1313102449">
      <w:bodyDiv w:val="1"/>
      <w:marLeft w:val="0"/>
      <w:marRight w:val="0"/>
      <w:marTop w:val="0"/>
      <w:marBottom w:val="0"/>
      <w:divBdr>
        <w:top w:val="none" w:sz="0" w:space="0" w:color="auto"/>
        <w:left w:val="none" w:sz="0" w:space="0" w:color="auto"/>
        <w:bottom w:val="none" w:sz="0" w:space="0" w:color="auto"/>
        <w:right w:val="none" w:sz="0" w:space="0" w:color="auto"/>
      </w:divBdr>
    </w:div>
    <w:div w:id="1678732722">
      <w:bodyDiv w:val="1"/>
      <w:marLeft w:val="0"/>
      <w:marRight w:val="0"/>
      <w:marTop w:val="0"/>
      <w:marBottom w:val="0"/>
      <w:divBdr>
        <w:top w:val="none" w:sz="0" w:space="0" w:color="auto"/>
        <w:left w:val="none" w:sz="0" w:space="0" w:color="auto"/>
        <w:bottom w:val="none" w:sz="0" w:space="0" w:color="auto"/>
        <w:right w:val="none" w:sz="0" w:space="0" w:color="auto"/>
      </w:divBdr>
    </w:div>
    <w:div w:id="1750538435">
      <w:bodyDiv w:val="1"/>
      <w:marLeft w:val="0"/>
      <w:marRight w:val="0"/>
      <w:marTop w:val="0"/>
      <w:marBottom w:val="0"/>
      <w:divBdr>
        <w:top w:val="none" w:sz="0" w:space="0" w:color="auto"/>
        <w:left w:val="none" w:sz="0" w:space="0" w:color="auto"/>
        <w:bottom w:val="none" w:sz="0" w:space="0" w:color="auto"/>
        <w:right w:val="none" w:sz="0" w:space="0" w:color="auto"/>
      </w:divBdr>
    </w:div>
    <w:div w:id="1798991092">
      <w:bodyDiv w:val="1"/>
      <w:marLeft w:val="0"/>
      <w:marRight w:val="0"/>
      <w:marTop w:val="0"/>
      <w:marBottom w:val="0"/>
      <w:divBdr>
        <w:top w:val="none" w:sz="0" w:space="0" w:color="auto"/>
        <w:left w:val="none" w:sz="0" w:space="0" w:color="auto"/>
        <w:bottom w:val="none" w:sz="0" w:space="0" w:color="auto"/>
        <w:right w:val="none" w:sz="0" w:space="0" w:color="auto"/>
      </w:divBdr>
    </w:div>
    <w:div w:id="1864901364">
      <w:bodyDiv w:val="1"/>
      <w:marLeft w:val="0"/>
      <w:marRight w:val="0"/>
      <w:marTop w:val="0"/>
      <w:marBottom w:val="0"/>
      <w:divBdr>
        <w:top w:val="none" w:sz="0" w:space="0" w:color="auto"/>
        <w:left w:val="none" w:sz="0" w:space="0" w:color="auto"/>
        <w:bottom w:val="none" w:sz="0" w:space="0" w:color="auto"/>
        <w:right w:val="none" w:sz="0" w:space="0" w:color="auto"/>
      </w:divBdr>
    </w:div>
    <w:div w:id="1985037151">
      <w:bodyDiv w:val="1"/>
      <w:marLeft w:val="0"/>
      <w:marRight w:val="0"/>
      <w:marTop w:val="0"/>
      <w:marBottom w:val="0"/>
      <w:divBdr>
        <w:top w:val="none" w:sz="0" w:space="0" w:color="auto"/>
        <w:left w:val="none" w:sz="0" w:space="0" w:color="auto"/>
        <w:bottom w:val="none" w:sz="0" w:space="0" w:color="auto"/>
        <w:right w:val="none" w:sz="0" w:space="0" w:color="auto"/>
      </w:divBdr>
    </w:div>
    <w:div w:id="21283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3B082-503A-4F22-8BA3-7A51F651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Observations and Recommendations</vt:lpstr>
    </vt:vector>
  </TitlesOfParts>
  <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and Recommendations</dc:title>
  <dc:creator>COA - Overseas Filipino Bank, Inc.</dc:creator>
  <cp:lastModifiedBy>COA</cp:lastModifiedBy>
  <cp:revision>13</cp:revision>
  <cp:lastPrinted>2023-07-03T05:21:00Z</cp:lastPrinted>
  <dcterms:created xsi:type="dcterms:W3CDTF">2023-06-29T10:34:00Z</dcterms:created>
  <dcterms:modified xsi:type="dcterms:W3CDTF">2023-07-07T13:36:00Z</dcterms:modified>
</cp:coreProperties>
</file>