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ED5C" w14:textId="085547FA" w:rsidR="00A26BFE" w:rsidRPr="00495094" w:rsidRDefault="005D62BE" w:rsidP="00EC6CFC">
      <w:pPr>
        <w:jc w:val="center"/>
        <w:rPr>
          <w:rFonts w:ascii="Arial" w:hAnsi="Arial" w:cs="Arial"/>
          <w:sz w:val="22"/>
          <w:szCs w:val="22"/>
        </w:rPr>
      </w:pPr>
      <w:bookmarkStart w:id="0" w:name="_GoBack"/>
      <w:bookmarkEnd w:id="0"/>
      <w:r w:rsidRPr="00495094">
        <w:rPr>
          <w:rFonts w:ascii="Arial" w:hAnsi="Arial" w:cs="Arial"/>
          <w:b/>
          <w:bCs/>
          <w:sz w:val="22"/>
          <w:szCs w:val="22"/>
        </w:rPr>
        <w:t xml:space="preserve">OVERSEAS FILIPINO </w:t>
      </w:r>
      <w:r w:rsidR="004D2E2F" w:rsidRPr="00495094">
        <w:rPr>
          <w:rFonts w:ascii="Arial" w:hAnsi="Arial" w:cs="Arial"/>
          <w:b/>
          <w:bCs/>
          <w:sz w:val="22"/>
          <w:szCs w:val="22"/>
        </w:rPr>
        <w:t>BANK, INC</w:t>
      </w:r>
      <w:r w:rsidR="004D2E2F" w:rsidRPr="00495094">
        <w:rPr>
          <w:rFonts w:ascii="Arial" w:hAnsi="Arial" w:cs="Arial"/>
          <w:sz w:val="22"/>
          <w:szCs w:val="22"/>
        </w:rPr>
        <w:t>.</w:t>
      </w:r>
      <w:r w:rsidR="00D60BE2" w:rsidRPr="00495094">
        <w:rPr>
          <w:rFonts w:ascii="Arial" w:hAnsi="Arial" w:cs="Arial"/>
          <w:sz w:val="22"/>
          <w:szCs w:val="22"/>
        </w:rPr>
        <w:t xml:space="preserve"> </w:t>
      </w:r>
    </w:p>
    <w:p w14:paraId="2DE8C2B5" w14:textId="065FDF16" w:rsidR="004D2E2F" w:rsidRPr="00495094" w:rsidRDefault="00D52553" w:rsidP="00EC6CFC">
      <w:pPr>
        <w:jc w:val="center"/>
        <w:rPr>
          <w:rFonts w:ascii="Arial" w:hAnsi="Arial" w:cs="Arial"/>
          <w:b/>
          <w:bCs/>
          <w:sz w:val="22"/>
          <w:szCs w:val="22"/>
        </w:rPr>
      </w:pPr>
      <w:r w:rsidRPr="00495094">
        <w:rPr>
          <w:rFonts w:ascii="Arial" w:hAnsi="Arial" w:cs="Arial"/>
          <w:b/>
          <w:bCs/>
          <w:sz w:val="22"/>
          <w:szCs w:val="22"/>
        </w:rPr>
        <w:t>(</w:t>
      </w:r>
      <w:r w:rsidR="004D2E2F" w:rsidRPr="00495094">
        <w:rPr>
          <w:rFonts w:ascii="Arial" w:hAnsi="Arial" w:cs="Arial"/>
          <w:b/>
          <w:bCs/>
          <w:sz w:val="22"/>
          <w:szCs w:val="22"/>
        </w:rPr>
        <w:t xml:space="preserve">A </w:t>
      </w:r>
      <w:r w:rsidR="00DE6C33" w:rsidRPr="00495094">
        <w:rPr>
          <w:rFonts w:ascii="Arial" w:hAnsi="Arial" w:cs="Arial"/>
          <w:b/>
          <w:bCs/>
          <w:sz w:val="22"/>
          <w:szCs w:val="22"/>
        </w:rPr>
        <w:t>Digital</w:t>
      </w:r>
      <w:r w:rsidR="00EF41A0" w:rsidRPr="00495094">
        <w:rPr>
          <w:rFonts w:ascii="Arial" w:hAnsi="Arial" w:cs="Arial"/>
          <w:b/>
          <w:bCs/>
          <w:sz w:val="22"/>
          <w:szCs w:val="22"/>
        </w:rPr>
        <w:t xml:space="preserve"> Bank of LANDBANK</w:t>
      </w:r>
      <w:r w:rsidRPr="00495094">
        <w:rPr>
          <w:rFonts w:ascii="Arial" w:hAnsi="Arial" w:cs="Arial"/>
          <w:b/>
          <w:bCs/>
          <w:sz w:val="22"/>
          <w:szCs w:val="22"/>
        </w:rPr>
        <w:t>)</w:t>
      </w:r>
    </w:p>
    <w:p w14:paraId="55825CE3" w14:textId="77777777" w:rsidR="00EC6CFC" w:rsidRPr="00495094" w:rsidRDefault="00EC6CFC" w:rsidP="00EC6CFC">
      <w:pPr>
        <w:jc w:val="center"/>
        <w:rPr>
          <w:rFonts w:ascii="Arial" w:hAnsi="Arial" w:cs="Arial"/>
          <w:b/>
          <w:bCs/>
          <w:sz w:val="22"/>
          <w:szCs w:val="22"/>
        </w:rPr>
      </w:pPr>
      <w:r w:rsidRPr="00495094">
        <w:rPr>
          <w:rFonts w:ascii="Arial" w:hAnsi="Arial" w:cs="Arial"/>
          <w:b/>
          <w:bCs/>
          <w:sz w:val="22"/>
          <w:szCs w:val="22"/>
        </w:rPr>
        <w:t>NOTES TO FINANCIAL STATEMENTS</w:t>
      </w:r>
    </w:p>
    <w:p w14:paraId="4CE2CB56" w14:textId="0CBC6346" w:rsidR="00AE1C82" w:rsidRPr="00495094" w:rsidRDefault="00BD3295" w:rsidP="00EC6CFC">
      <w:pPr>
        <w:jc w:val="center"/>
        <w:rPr>
          <w:rFonts w:ascii="Arial" w:hAnsi="Arial" w:cs="Arial"/>
          <w:b/>
          <w:bCs/>
          <w:sz w:val="22"/>
          <w:szCs w:val="22"/>
        </w:rPr>
      </w:pPr>
      <w:r w:rsidRPr="00495094">
        <w:rPr>
          <w:rFonts w:ascii="Arial" w:hAnsi="Arial" w:cs="Arial"/>
          <w:b/>
          <w:bCs/>
          <w:sz w:val="22"/>
          <w:szCs w:val="22"/>
        </w:rPr>
        <w:t>DECEMBER 31, 202</w:t>
      </w:r>
      <w:r w:rsidR="00DE6C33" w:rsidRPr="00495094">
        <w:rPr>
          <w:rFonts w:ascii="Arial" w:hAnsi="Arial" w:cs="Arial"/>
          <w:b/>
          <w:bCs/>
          <w:sz w:val="22"/>
          <w:szCs w:val="22"/>
        </w:rPr>
        <w:t>2</w:t>
      </w:r>
      <w:r w:rsidR="00AE1C82" w:rsidRPr="00495094">
        <w:rPr>
          <w:rFonts w:ascii="Arial" w:hAnsi="Arial" w:cs="Arial"/>
          <w:b/>
          <w:bCs/>
          <w:sz w:val="22"/>
          <w:szCs w:val="22"/>
        </w:rPr>
        <w:t xml:space="preserve"> AND 20</w:t>
      </w:r>
      <w:r w:rsidRPr="00495094">
        <w:rPr>
          <w:rFonts w:ascii="Arial" w:hAnsi="Arial" w:cs="Arial"/>
          <w:b/>
          <w:bCs/>
          <w:sz w:val="22"/>
          <w:szCs w:val="22"/>
        </w:rPr>
        <w:t>2</w:t>
      </w:r>
      <w:r w:rsidR="00DE6C33" w:rsidRPr="00495094">
        <w:rPr>
          <w:rFonts w:ascii="Arial" w:hAnsi="Arial" w:cs="Arial"/>
          <w:b/>
          <w:bCs/>
          <w:sz w:val="22"/>
          <w:szCs w:val="22"/>
        </w:rPr>
        <w:t>1</w:t>
      </w:r>
    </w:p>
    <w:p w14:paraId="05326715" w14:textId="77777777" w:rsidR="00EC6CFC" w:rsidRPr="00495094" w:rsidRDefault="00EC6CFC" w:rsidP="00EC6CFC">
      <w:pPr>
        <w:jc w:val="center"/>
        <w:rPr>
          <w:rFonts w:ascii="Arial" w:hAnsi="Arial" w:cs="Arial"/>
          <w:sz w:val="22"/>
          <w:szCs w:val="22"/>
        </w:rPr>
      </w:pPr>
      <w:r w:rsidRPr="00495094">
        <w:rPr>
          <w:rFonts w:ascii="Arial" w:hAnsi="Arial" w:cs="Arial"/>
          <w:sz w:val="22"/>
          <w:szCs w:val="22"/>
        </w:rPr>
        <w:t>(A</w:t>
      </w:r>
      <w:r w:rsidR="00DA3938" w:rsidRPr="00495094">
        <w:rPr>
          <w:rFonts w:ascii="Arial" w:hAnsi="Arial" w:cs="Arial"/>
          <w:sz w:val="22"/>
          <w:szCs w:val="22"/>
        </w:rPr>
        <w:t>ll a</w:t>
      </w:r>
      <w:r w:rsidRPr="00495094">
        <w:rPr>
          <w:rFonts w:ascii="Arial" w:hAnsi="Arial" w:cs="Arial"/>
          <w:sz w:val="22"/>
          <w:szCs w:val="22"/>
        </w:rPr>
        <w:t xml:space="preserve">mounts in </w:t>
      </w:r>
      <w:r w:rsidR="00DA3938" w:rsidRPr="00495094">
        <w:rPr>
          <w:rFonts w:ascii="Arial" w:hAnsi="Arial" w:cs="Arial"/>
          <w:sz w:val="22"/>
          <w:szCs w:val="22"/>
        </w:rPr>
        <w:t xml:space="preserve">Philippine </w:t>
      </w:r>
      <w:r w:rsidRPr="00495094">
        <w:rPr>
          <w:rFonts w:ascii="Arial" w:hAnsi="Arial" w:cs="Arial"/>
          <w:sz w:val="22"/>
          <w:szCs w:val="22"/>
        </w:rPr>
        <w:t xml:space="preserve">Peso </w:t>
      </w:r>
      <w:r w:rsidR="00DA3938" w:rsidRPr="00495094">
        <w:rPr>
          <w:rFonts w:ascii="Arial" w:hAnsi="Arial" w:cs="Arial"/>
          <w:sz w:val="22"/>
          <w:szCs w:val="22"/>
        </w:rPr>
        <w:t xml:space="preserve">unless </w:t>
      </w:r>
      <w:r w:rsidRPr="00495094">
        <w:rPr>
          <w:rFonts w:ascii="Arial" w:hAnsi="Arial" w:cs="Arial"/>
          <w:sz w:val="22"/>
          <w:szCs w:val="22"/>
        </w:rPr>
        <w:t>otherwise stated)</w:t>
      </w:r>
    </w:p>
    <w:p w14:paraId="79A93258" w14:textId="77777777" w:rsidR="004D2E2F" w:rsidRPr="00495094" w:rsidRDefault="004D2E2F">
      <w:pPr>
        <w:rPr>
          <w:rFonts w:ascii="Arial" w:hAnsi="Arial" w:cs="Arial"/>
          <w:sz w:val="22"/>
          <w:szCs w:val="22"/>
        </w:rPr>
      </w:pPr>
    </w:p>
    <w:p w14:paraId="6AFD5021" w14:textId="77777777" w:rsidR="004D2E2F" w:rsidRPr="00495094" w:rsidRDefault="004D2E2F">
      <w:pPr>
        <w:rPr>
          <w:rFonts w:ascii="Arial" w:hAnsi="Arial" w:cs="Arial"/>
          <w:sz w:val="22"/>
          <w:szCs w:val="22"/>
        </w:rPr>
      </w:pPr>
    </w:p>
    <w:p w14:paraId="12F7ED10" w14:textId="77777777" w:rsidR="004D2E2F" w:rsidRPr="00495094" w:rsidRDefault="00DA3938" w:rsidP="007F4EEC">
      <w:pPr>
        <w:numPr>
          <w:ilvl w:val="0"/>
          <w:numId w:val="2"/>
        </w:numPr>
        <w:ind w:left="720"/>
        <w:rPr>
          <w:rFonts w:ascii="Arial" w:hAnsi="Arial" w:cs="Arial"/>
          <w:b/>
          <w:bCs/>
          <w:sz w:val="22"/>
          <w:szCs w:val="22"/>
        </w:rPr>
      </w:pPr>
      <w:r w:rsidRPr="00495094">
        <w:rPr>
          <w:rFonts w:ascii="Arial" w:hAnsi="Arial" w:cs="Arial"/>
          <w:b/>
          <w:bCs/>
          <w:sz w:val="22"/>
          <w:szCs w:val="22"/>
        </w:rPr>
        <w:t>Corporate Information</w:t>
      </w:r>
    </w:p>
    <w:p w14:paraId="4C4E4804" w14:textId="77777777" w:rsidR="004D2E2F" w:rsidRPr="00495094" w:rsidRDefault="004D2E2F">
      <w:pPr>
        <w:pStyle w:val="BodyTextIndent2"/>
        <w:rPr>
          <w:rFonts w:ascii="Arial" w:hAnsi="Arial" w:cs="Arial"/>
          <w:sz w:val="22"/>
          <w:szCs w:val="22"/>
        </w:rPr>
      </w:pPr>
    </w:p>
    <w:p w14:paraId="722DAD0C" w14:textId="37E6CB3E" w:rsidR="00DC3F94" w:rsidRPr="00495094" w:rsidRDefault="005D62BE" w:rsidP="00B54551">
      <w:pPr>
        <w:pStyle w:val="BodyTextIndent2"/>
        <w:ind w:left="0"/>
        <w:rPr>
          <w:rFonts w:ascii="Arial" w:hAnsi="Arial" w:cs="Arial"/>
          <w:sz w:val="22"/>
          <w:szCs w:val="22"/>
        </w:rPr>
      </w:pPr>
      <w:r w:rsidRPr="00495094">
        <w:rPr>
          <w:rFonts w:ascii="Arial" w:hAnsi="Arial" w:cs="Arial"/>
          <w:sz w:val="22"/>
          <w:szCs w:val="22"/>
        </w:rPr>
        <w:t>Overseas Filipino</w:t>
      </w:r>
      <w:r w:rsidR="004D2E2F" w:rsidRPr="00495094">
        <w:rPr>
          <w:rFonts w:ascii="Arial" w:hAnsi="Arial" w:cs="Arial"/>
          <w:sz w:val="22"/>
          <w:szCs w:val="22"/>
        </w:rPr>
        <w:t xml:space="preserve"> Bank, Inc.</w:t>
      </w:r>
      <w:r w:rsidR="00E111A7" w:rsidRPr="00495094">
        <w:rPr>
          <w:rFonts w:ascii="Arial" w:hAnsi="Arial" w:cs="Arial"/>
          <w:sz w:val="22"/>
          <w:szCs w:val="22"/>
        </w:rPr>
        <w:t>, a</w:t>
      </w:r>
      <w:r w:rsidR="00242008" w:rsidRPr="00495094">
        <w:rPr>
          <w:rFonts w:ascii="Arial" w:hAnsi="Arial" w:cs="Arial"/>
          <w:sz w:val="22"/>
          <w:szCs w:val="22"/>
        </w:rPr>
        <w:t xml:space="preserve"> </w:t>
      </w:r>
      <w:r w:rsidR="00DE6C33" w:rsidRPr="00495094">
        <w:rPr>
          <w:rFonts w:ascii="Arial" w:hAnsi="Arial" w:cs="Arial"/>
          <w:sz w:val="22"/>
          <w:szCs w:val="22"/>
        </w:rPr>
        <w:t>Digital</w:t>
      </w:r>
      <w:r w:rsidR="004D377E" w:rsidRPr="00495094">
        <w:rPr>
          <w:rFonts w:ascii="Arial" w:hAnsi="Arial" w:cs="Arial"/>
          <w:sz w:val="22"/>
          <w:szCs w:val="22"/>
        </w:rPr>
        <w:t xml:space="preserve"> Bank of</w:t>
      </w:r>
      <w:r w:rsidR="00782A31" w:rsidRPr="00495094">
        <w:rPr>
          <w:rFonts w:ascii="Arial" w:hAnsi="Arial" w:cs="Arial"/>
          <w:sz w:val="22"/>
          <w:szCs w:val="22"/>
        </w:rPr>
        <w:t xml:space="preserve"> LANDBANK </w:t>
      </w:r>
      <w:r w:rsidR="004D2E2F" w:rsidRPr="00495094">
        <w:rPr>
          <w:rFonts w:ascii="Arial" w:hAnsi="Arial" w:cs="Arial"/>
          <w:sz w:val="22"/>
          <w:szCs w:val="22"/>
        </w:rPr>
        <w:t>(</w:t>
      </w:r>
      <w:r w:rsidRPr="00495094">
        <w:rPr>
          <w:rFonts w:ascii="Arial" w:hAnsi="Arial" w:cs="Arial"/>
          <w:sz w:val="22"/>
          <w:szCs w:val="22"/>
        </w:rPr>
        <w:t>OFB</w:t>
      </w:r>
      <w:r w:rsidR="00482031" w:rsidRPr="00495094">
        <w:rPr>
          <w:rFonts w:ascii="Arial" w:hAnsi="Arial" w:cs="Arial"/>
          <w:sz w:val="22"/>
          <w:szCs w:val="22"/>
        </w:rPr>
        <w:t xml:space="preserve"> or the Bank</w:t>
      </w:r>
      <w:r w:rsidR="009F6F23" w:rsidRPr="00495094">
        <w:rPr>
          <w:rFonts w:ascii="Arial" w:hAnsi="Arial" w:cs="Arial"/>
          <w:sz w:val="22"/>
          <w:szCs w:val="22"/>
        </w:rPr>
        <w:t>)</w:t>
      </w:r>
      <w:r w:rsidRPr="00495094">
        <w:rPr>
          <w:rFonts w:ascii="Arial" w:hAnsi="Arial" w:cs="Arial"/>
          <w:sz w:val="22"/>
          <w:szCs w:val="22"/>
        </w:rPr>
        <w:t xml:space="preserve"> formerly known as Philippine Postal Savings Bank, Inc.</w:t>
      </w:r>
      <w:r w:rsidR="004D2E2F" w:rsidRPr="00495094">
        <w:rPr>
          <w:rFonts w:ascii="Arial" w:hAnsi="Arial" w:cs="Arial"/>
          <w:sz w:val="22"/>
          <w:szCs w:val="22"/>
        </w:rPr>
        <w:t xml:space="preserve"> </w:t>
      </w:r>
      <w:r w:rsidR="00E111A7" w:rsidRPr="00495094">
        <w:rPr>
          <w:rFonts w:ascii="Arial" w:hAnsi="Arial" w:cs="Arial"/>
          <w:sz w:val="22"/>
          <w:szCs w:val="22"/>
        </w:rPr>
        <w:t xml:space="preserve">(PPSBI) </w:t>
      </w:r>
      <w:r w:rsidR="004D2E2F" w:rsidRPr="00495094">
        <w:rPr>
          <w:rFonts w:ascii="Arial" w:hAnsi="Arial" w:cs="Arial"/>
          <w:sz w:val="22"/>
          <w:szCs w:val="22"/>
        </w:rPr>
        <w:t xml:space="preserve">is a subsidiary of the </w:t>
      </w:r>
      <w:r w:rsidRPr="00495094">
        <w:rPr>
          <w:rFonts w:ascii="Arial" w:hAnsi="Arial" w:cs="Arial"/>
          <w:sz w:val="22"/>
          <w:szCs w:val="22"/>
        </w:rPr>
        <w:t xml:space="preserve">Land Bank of the Philippines </w:t>
      </w:r>
      <w:r w:rsidR="004D2E2F" w:rsidRPr="00495094">
        <w:rPr>
          <w:rFonts w:ascii="Arial" w:hAnsi="Arial" w:cs="Arial"/>
          <w:sz w:val="22"/>
          <w:szCs w:val="22"/>
        </w:rPr>
        <w:t>(</w:t>
      </w:r>
      <w:r w:rsidRPr="00495094">
        <w:rPr>
          <w:rFonts w:ascii="Arial" w:hAnsi="Arial" w:cs="Arial"/>
          <w:sz w:val="22"/>
          <w:szCs w:val="22"/>
        </w:rPr>
        <w:t>LBP</w:t>
      </w:r>
      <w:r w:rsidR="00DC63B4" w:rsidRPr="00495094">
        <w:rPr>
          <w:rFonts w:ascii="Arial" w:hAnsi="Arial" w:cs="Arial"/>
          <w:sz w:val="22"/>
          <w:szCs w:val="22"/>
        </w:rPr>
        <w:t xml:space="preserve"> or </w:t>
      </w:r>
      <w:r w:rsidR="00771151" w:rsidRPr="00495094">
        <w:rPr>
          <w:rFonts w:ascii="Arial" w:hAnsi="Arial" w:cs="Arial"/>
          <w:sz w:val="22"/>
          <w:szCs w:val="22"/>
        </w:rPr>
        <w:t>the Parent Bank</w:t>
      </w:r>
      <w:r w:rsidR="00DC63B4" w:rsidRPr="00495094">
        <w:rPr>
          <w:rFonts w:ascii="Arial" w:hAnsi="Arial" w:cs="Arial"/>
          <w:sz w:val="22"/>
          <w:szCs w:val="22"/>
        </w:rPr>
        <w:t xml:space="preserve"> or LANDBANK</w:t>
      </w:r>
      <w:r w:rsidR="004D2E2F" w:rsidRPr="00495094">
        <w:rPr>
          <w:rFonts w:ascii="Arial" w:hAnsi="Arial" w:cs="Arial"/>
          <w:sz w:val="22"/>
          <w:szCs w:val="22"/>
        </w:rPr>
        <w:t>)</w:t>
      </w:r>
      <w:r w:rsidRPr="00495094">
        <w:rPr>
          <w:rFonts w:ascii="Arial" w:hAnsi="Arial" w:cs="Arial"/>
          <w:sz w:val="22"/>
          <w:szCs w:val="22"/>
        </w:rPr>
        <w:t xml:space="preserve"> acquired by the latter at zero value as stated on Executive Order </w:t>
      </w:r>
      <w:r w:rsidR="008B3396" w:rsidRPr="00495094">
        <w:rPr>
          <w:rFonts w:ascii="Arial" w:hAnsi="Arial" w:cs="Arial"/>
          <w:sz w:val="22"/>
          <w:szCs w:val="22"/>
        </w:rPr>
        <w:t>(EO) N</w:t>
      </w:r>
      <w:r w:rsidRPr="00495094">
        <w:rPr>
          <w:rFonts w:ascii="Arial" w:hAnsi="Arial" w:cs="Arial"/>
          <w:sz w:val="22"/>
          <w:szCs w:val="22"/>
        </w:rPr>
        <w:t>o. 44 dated September 26, 2017.</w:t>
      </w:r>
      <w:r w:rsidR="004D2E2F" w:rsidRPr="00495094">
        <w:rPr>
          <w:rFonts w:ascii="Arial" w:hAnsi="Arial" w:cs="Arial"/>
          <w:sz w:val="22"/>
          <w:szCs w:val="22"/>
        </w:rPr>
        <w:t xml:space="preserve"> </w:t>
      </w:r>
    </w:p>
    <w:p w14:paraId="5D549F44" w14:textId="77777777" w:rsidR="00DC3F94" w:rsidRPr="00495094" w:rsidRDefault="00DC3F94" w:rsidP="00B54551">
      <w:pPr>
        <w:pStyle w:val="BodyTextIndent2"/>
        <w:ind w:left="0"/>
        <w:rPr>
          <w:rFonts w:ascii="Arial" w:hAnsi="Arial" w:cs="Arial"/>
          <w:sz w:val="22"/>
          <w:szCs w:val="22"/>
        </w:rPr>
      </w:pPr>
    </w:p>
    <w:p w14:paraId="126EE1ED" w14:textId="44E64D45" w:rsidR="00DC3F94" w:rsidRPr="00495094" w:rsidRDefault="00DC3F94" w:rsidP="00DC3F94">
      <w:pPr>
        <w:tabs>
          <w:tab w:val="left" w:pos="0"/>
          <w:tab w:val="left" w:pos="540"/>
        </w:tabs>
        <w:rPr>
          <w:rFonts w:ascii="Arial" w:hAnsi="Arial" w:cs="Arial"/>
          <w:sz w:val="22"/>
          <w:szCs w:val="22"/>
        </w:rPr>
      </w:pPr>
      <w:r w:rsidRPr="00495094">
        <w:rPr>
          <w:rFonts w:ascii="Arial" w:hAnsi="Arial" w:cs="Arial"/>
          <w:bCs/>
          <w:sz w:val="22"/>
          <w:szCs w:val="22"/>
        </w:rPr>
        <w:t>The PPSBI is a subsidiary of the Philippine Postal Corporation (PPC) re-established and re-opened by virtue of PPC Board Resolution</w:t>
      </w:r>
      <w:r w:rsidR="00DE3528" w:rsidRPr="00495094">
        <w:rPr>
          <w:rFonts w:ascii="Arial" w:hAnsi="Arial" w:cs="Arial"/>
          <w:bCs/>
          <w:sz w:val="22"/>
          <w:szCs w:val="22"/>
        </w:rPr>
        <w:t xml:space="preserve"> </w:t>
      </w:r>
      <w:r w:rsidRPr="00495094">
        <w:rPr>
          <w:rFonts w:ascii="Arial" w:hAnsi="Arial" w:cs="Arial"/>
          <w:bCs/>
          <w:sz w:val="22"/>
          <w:szCs w:val="22"/>
        </w:rPr>
        <w:t xml:space="preserve">No. 94-34 dated February 24, 1994 </w:t>
      </w:r>
      <w:r w:rsidRPr="00495094">
        <w:rPr>
          <w:rFonts w:ascii="Arial" w:hAnsi="Arial" w:cs="Arial"/>
          <w:sz w:val="22"/>
          <w:szCs w:val="22"/>
        </w:rPr>
        <w:t>in fulfillment of the intents and purposes of R</w:t>
      </w:r>
      <w:r w:rsidR="00DE3528" w:rsidRPr="00495094">
        <w:rPr>
          <w:rFonts w:ascii="Arial" w:hAnsi="Arial" w:cs="Arial"/>
          <w:sz w:val="22"/>
          <w:szCs w:val="22"/>
        </w:rPr>
        <w:t xml:space="preserve">epublic Act </w:t>
      </w:r>
      <w:r w:rsidRPr="00495094">
        <w:rPr>
          <w:rFonts w:ascii="Arial" w:hAnsi="Arial" w:cs="Arial"/>
          <w:sz w:val="22"/>
          <w:szCs w:val="22"/>
        </w:rPr>
        <w:t xml:space="preserve">No. 7354, otherwise known as Postal Services Act of 1992, which was enacted by the Congress on April 03, 1992.  The re-establishment of PPSBI was finally approved under the Bangko Sentral ng Pilipinas </w:t>
      </w:r>
      <w:r w:rsidR="00D13AE0" w:rsidRPr="00495094">
        <w:rPr>
          <w:rFonts w:ascii="Arial" w:hAnsi="Arial" w:cs="Arial"/>
          <w:sz w:val="22"/>
          <w:szCs w:val="22"/>
        </w:rPr>
        <w:t>(BSP)</w:t>
      </w:r>
      <w:r w:rsidRPr="00495094">
        <w:rPr>
          <w:rFonts w:ascii="Arial" w:hAnsi="Arial" w:cs="Arial"/>
          <w:sz w:val="22"/>
          <w:szCs w:val="22"/>
        </w:rPr>
        <w:t xml:space="preserve"> Board Resolution No. 267 dated March 18, 1994.  The </w:t>
      </w:r>
      <w:r w:rsidR="00DE3528" w:rsidRPr="00495094">
        <w:rPr>
          <w:rFonts w:ascii="Arial" w:hAnsi="Arial" w:cs="Arial"/>
          <w:sz w:val="22"/>
          <w:szCs w:val="22"/>
        </w:rPr>
        <w:t>PPSBI</w:t>
      </w:r>
      <w:r w:rsidR="003F2289" w:rsidRPr="00495094">
        <w:rPr>
          <w:rFonts w:ascii="Arial" w:hAnsi="Arial" w:cs="Arial"/>
          <w:sz w:val="22"/>
          <w:szCs w:val="22"/>
        </w:rPr>
        <w:t xml:space="preserve"> </w:t>
      </w:r>
      <w:r w:rsidRPr="00495094">
        <w:rPr>
          <w:rFonts w:ascii="Arial" w:hAnsi="Arial" w:cs="Arial"/>
          <w:sz w:val="22"/>
          <w:szCs w:val="22"/>
        </w:rPr>
        <w:t xml:space="preserve">was incorporated on June 22, 1994 and started operations as a savings and mortgage bank on July 21, 1994.  The </w:t>
      </w:r>
      <w:r w:rsidR="00DE3528" w:rsidRPr="00495094">
        <w:rPr>
          <w:rFonts w:ascii="Arial" w:hAnsi="Arial" w:cs="Arial"/>
          <w:sz w:val="22"/>
          <w:szCs w:val="22"/>
        </w:rPr>
        <w:t>PPSBI</w:t>
      </w:r>
      <w:r w:rsidRPr="00495094">
        <w:rPr>
          <w:rFonts w:ascii="Arial" w:hAnsi="Arial" w:cs="Arial"/>
          <w:sz w:val="22"/>
          <w:szCs w:val="22"/>
        </w:rPr>
        <w:t xml:space="preserve"> shall mobilize savings and promote entrepreneurship to widen economic opportunities and to provide the Filipino people with a full range of professional banking and financial resources accessible in all areas of the country, and shall promote the values of thrift, industry and prudence especially in the youth.</w:t>
      </w:r>
    </w:p>
    <w:p w14:paraId="42DDFBFE" w14:textId="77777777" w:rsidR="00DC3F94" w:rsidRPr="00495094" w:rsidRDefault="00DC3F94" w:rsidP="00DC3F94">
      <w:pPr>
        <w:tabs>
          <w:tab w:val="left" w:pos="0"/>
          <w:tab w:val="left" w:pos="540"/>
        </w:tabs>
        <w:rPr>
          <w:rFonts w:ascii="Arial" w:hAnsi="Arial" w:cs="Arial"/>
          <w:sz w:val="22"/>
          <w:szCs w:val="22"/>
        </w:rPr>
      </w:pPr>
    </w:p>
    <w:p w14:paraId="59191045" w14:textId="0B337D3B" w:rsidR="00DC3F94" w:rsidRPr="00495094" w:rsidRDefault="00DC3F94" w:rsidP="00DC3F94">
      <w:pPr>
        <w:rPr>
          <w:rFonts w:ascii="Arial" w:hAnsi="Arial" w:cs="Arial"/>
          <w:sz w:val="22"/>
          <w:szCs w:val="22"/>
        </w:rPr>
      </w:pPr>
      <w:r w:rsidRPr="00495094">
        <w:rPr>
          <w:rFonts w:ascii="Arial" w:hAnsi="Arial" w:cs="Arial"/>
          <w:sz w:val="22"/>
          <w:szCs w:val="22"/>
        </w:rPr>
        <w:t xml:space="preserve">In December 2016, the National Government directed the LBP to initiate the acquisition of </w:t>
      </w:r>
      <w:r w:rsidR="00DE3528" w:rsidRPr="00495094">
        <w:rPr>
          <w:rFonts w:ascii="Arial" w:hAnsi="Arial" w:cs="Arial"/>
          <w:sz w:val="22"/>
          <w:szCs w:val="22"/>
        </w:rPr>
        <w:t>PPSBI</w:t>
      </w:r>
      <w:r w:rsidRPr="00495094">
        <w:rPr>
          <w:rFonts w:ascii="Arial" w:hAnsi="Arial" w:cs="Arial"/>
          <w:sz w:val="22"/>
          <w:szCs w:val="22"/>
        </w:rPr>
        <w:t xml:space="preserve"> as its subsidiary, with the plan of eventually converting it to a bank for Overseas Filipino Workers.</w:t>
      </w:r>
    </w:p>
    <w:p w14:paraId="31920E78" w14:textId="77777777" w:rsidR="00DC3F94" w:rsidRPr="00495094" w:rsidRDefault="00DC3F94" w:rsidP="00B54551">
      <w:pPr>
        <w:pStyle w:val="BodyTextIndent2"/>
        <w:ind w:left="0"/>
        <w:rPr>
          <w:rFonts w:ascii="Arial" w:hAnsi="Arial" w:cs="Arial"/>
          <w:sz w:val="22"/>
          <w:szCs w:val="22"/>
        </w:rPr>
      </w:pPr>
    </w:p>
    <w:p w14:paraId="4B41DE8B" w14:textId="540A9C78" w:rsidR="00DC3F94" w:rsidRPr="00495094" w:rsidRDefault="00DC3F94" w:rsidP="00B54551">
      <w:pPr>
        <w:pStyle w:val="BodyTextIndent2"/>
        <w:ind w:left="0"/>
        <w:rPr>
          <w:rFonts w:ascii="Arial" w:hAnsi="Arial" w:cs="Arial"/>
          <w:sz w:val="22"/>
          <w:szCs w:val="22"/>
        </w:rPr>
      </w:pPr>
      <w:r w:rsidRPr="00495094">
        <w:rPr>
          <w:rFonts w:ascii="Arial" w:hAnsi="Arial" w:cs="Arial"/>
          <w:sz w:val="22"/>
          <w:szCs w:val="22"/>
        </w:rPr>
        <w:t xml:space="preserve">On September 26, 2017, President Rodrigo Duterte issued </w:t>
      </w:r>
      <w:r w:rsidR="008B3396" w:rsidRPr="00495094">
        <w:rPr>
          <w:rFonts w:ascii="Arial" w:hAnsi="Arial" w:cs="Arial"/>
          <w:sz w:val="22"/>
          <w:szCs w:val="22"/>
        </w:rPr>
        <w:t>EO</w:t>
      </w:r>
      <w:r w:rsidRPr="00495094">
        <w:rPr>
          <w:rFonts w:ascii="Arial" w:hAnsi="Arial" w:cs="Arial"/>
          <w:sz w:val="22"/>
          <w:szCs w:val="22"/>
        </w:rPr>
        <w:t xml:space="preserve"> No. 44, which mandates the PPC and the Bureau of Treasury </w:t>
      </w:r>
      <w:r w:rsidR="00D75AD9" w:rsidRPr="00495094">
        <w:rPr>
          <w:rFonts w:ascii="Arial" w:hAnsi="Arial" w:cs="Arial"/>
          <w:sz w:val="22"/>
          <w:szCs w:val="22"/>
        </w:rPr>
        <w:t>(BT</w:t>
      </w:r>
      <w:r w:rsidR="0057701E" w:rsidRPr="00495094">
        <w:rPr>
          <w:rFonts w:ascii="Arial" w:hAnsi="Arial" w:cs="Arial"/>
          <w:sz w:val="22"/>
          <w:szCs w:val="22"/>
        </w:rPr>
        <w:t>r</w:t>
      </w:r>
      <w:r w:rsidR="00242008" w:rsidRPr="00495094">
        <w:rPr>
          <w:rFonts w:ascii="Arial" w:hAnsi="Arial" w:cs="Arial"/>
          <w:sz w:val="22"/>
          <w:szCs w:val="22"/>
        </w:rPr>
        <w:t xml:space="preserve">) </w:t>
      </w:r>
      <w:r w:rsidRPr="00495094">
        <w:rPr>
          <w:rFonts w:ascii="Arial" w:hAnsi="Arial" w:cs="Arial"/>
          <w:sz w:val="22"/>
          <w:szCs w:val="22"/>
        </w:rPr>
        <w:t xml:space="preserve">to transfer their PPSBI shares to LBP at zero value.  </w:t>
      </w:r>
    </w:p>
    <w:p w14:paraId="3903693E" w14:textId="77777777" w:rsidR="00DC3F94" w:rsidRPr="00495094" w:rsidRDefault="00DC3F94" w:rsidP="00B54551">
      <w:pPr>
        <w:pStyle w:val="BodyTextIndent2"/>
        <w:ind w:left="0"/>
        <w:rPr>
          <w:rFonts w:ascii="Arial" w:hAnsi="Arial" w:cs="Arial"/>
          <w:sz w:val="22"/>
          <w:szCs w:val="22"/>
        </w:rPr>
      </w:pPr>
    </w:p>
    <w:p w14:paraId="52E934D5" w14:textId="77777777" w:rsidR="00D031BD" w:rsidRPr="00495094" w:rsidRDefault="00D031BD" w:rsidP="00D031BD">
      <w:pPr>
        <w:rPr>
          <w:rFonts w:ascii="Arial" w:hAnsi="Arial" w:cs="Arial"/>
          <w:sz w:val="22"/>
          <w:szCs w:val="22"/>
        </w:rPr>
      </w:pPr>
      <w:r w:rsidRPr="00495094">
        <w:rPr>
          <w:rFonts w:ascii="Arial" w:hAnsi="Arial" w:cs="Arial"/>
          <w:sz w:val="22"/>
          <w:szCs w:val="22"/>
        </w:rPr>
        <w:t xml:space="preserve">On January 5, 2018, the PPSBI registered with the Securities and Exchange Commission the Amended Articles of Incorporation bearing the new corporate name. </w:t>
      </w:r>
    </w:p>
    <w:p w14:paraId="579CA9E4" w14:textId="77777777" w:rsidR="00D031BD" w:rsidRPr="00495094" w:rsidRDefault="00D031BD" w:rsidP="00D031BD">
      <w:pPr>
        <w:rPr>
          <w:rFonts w:ascii="Arial" w:hAnsi="Arial" w:cs="Arial"/>
          <w:sz w:val="22"/>
          <w:szCs w:val="22"/>
        </w:rPr>
      </w:pPr>
    </w:p>
    <w:p w14:paraId="302E79DA" w14:textId="5AC2302A" w:rsidR="00D031BD" w:rsidRPr="00495094" w:rsidRDefault="00D031BD" w:rsidP="00D031BD">
      <w:pPr>
        <w:rPr>
          <w:rFonts w:ascii="Arial" w:hAnsi="Arial" w:cs="Arial"/>
          <w:sz w:val="22"/>
          <w:szCs w:val="22"/>
        </w:rPr>
      </w:pPr>
      <w:r w:rsidRPr="00495094">
        <w:rPr>
          <w:rFonts w:ascii="Arial" w:hAnsi="Arial" w:cs="Arial"/>
          <w:sz w:val="22"/>
          <w:szCs w:val="22"/>
        </w:rPr>
        <w:t xml:space="preserve">The </w:t>
      </w:r>
      <w:r w:rsidR="0067730E" w:rsidRPr="00495094">
        <w:rPr>
          <w:rFonts w:ascii="Arial" w:hAnsi="Arial" w:cs="Arial"/>
          <w:sz w:val="22"/>
          <w:szCs w:val="22"/>
        </w:rPr>
        <w:t>BSP</w:t>
      </w:r>
      <w:r w:rsidRPr="00495094">
        <w:rPr>
          <w:rFonts w:ascii="Arial" w:hAnsi="Arial" w:cs="Arial"/>
          <w:sz w:val="22"/>
          <w:szCs w:val="22"/>
        </w:rPr>
        <w:t xml:space="preserve"> through its Circular Letter no. CL-2018-007 </w:t>
      </w:r>
      <w:r w:rsidR="00AA6904" w:rsidRPr="00495094">
        <w:rPr>
          <w:rFonts w:ascii="Arial" w:hAnsi="Arial" w:cs="Arial"/>
          <w:sz w:val="22"/>
          <w:szCs w:val="22"/>
        </w:rPr>
        <w:t>dated January</w:t>
      </w:r>
      <w:r w:rsidRPr="00495094">
        <w:rPr>
          <w:rFonts w:ascii="Arial" w:hAnsi="Arial" w:cs="Arial"/>
          <w:sz w:val="22"/>
          <w:szCs w:val="22"/>
        </w:rPr>
        <w:t xml:space="preserve"> </w:t>
      </w:r>
      <w:r w:rsidR="00771151" w:rsidRPr="00495094">
        <w:rPr>
          <w:rFonts w:ascii="Arial" w:hAnsi="Arial" w:cs="Arial"/>
          <w:sz w:val="22"/>
          <w:szCs w:val="22"/>
        </w:rPr>
        <w:t xml:space="preserve">18, </w:t>
      </w:r>
      <w:r w:rsidRPr="00495094">
        <w:rPr>
          <w:rFonts w:ascii="Arial" w:hAnsi="Arial" w:cs="Arial"/>
          <w:sz w:val="22"/>
          <w:szCs w:val="22"/>
        </w:rPr>
        <w:t>2018, approved the change of corporate name of the PPSBI to “Overseas Filipino Bank, Inc., a Savings Bank of LANDBANK”.</w:t>
      </w:r>
    </w:p>
    <w:p w14:paraId="02057ADD" w14:textId="77777777" w:rsidR="00DC3F94" w:rsidRPr="00495094" w:rsidRDefault="00DC3F94" w:rsidP="00B54551">
      <w:pPr>
        <w:pStyle w:val="BodyTextIndent2"/>
        <w:ind w:left="0"/>
        <w:rPr>
          <w:rFonts w:ascii="Arial" w:hAnsi="Arial" w:cs="Arial"/>
          <w:sz w:val="22"/>
          <w:szCs w:val="22"/>
        </w:rPr>
      </w:pPr>
    </w:p>
    <w:p w14:paraId="3F3099A7" w14:textId="1AB763BE" w:rsidR="004D4ECC" w:rsidRPr="00495094" w:rsidRDefault="004D4ECC" w:rsidP="004D4ECC">
      <w:pPr>
        <w:rPr>
          <w:rFonts w:ascii="Arial" w:hAnsi="Arial" w:cs="Arial"/>
          <w:sz w:val="22"/>
          <w:szCs w:val="22"/>
        </w:rPr>
      </w:pPr>
      <w:r w:rsidRPr="00495094">
        <w:rPr>
          <w:rFonts w:ascii="Arial" w:hAnsi="Arial" w:cs="Arial"/>
          <w:sz w:val="22"/>
          <w:szCs w:val="22"/>
        </w:rPr>
        <w:t>On March 2018, the BT</w:t>
      </w:r>
      <w:r w:rsidR="0057701E" w:rsidRPr="00495094">
        <w:rPr>
          <w:rFonts w:ascii="Arial" w:hAnsi="Arial" w:cs="Arial"/>
          <w:sz w:val="22"/>
          <w:szCs w:val="22"/>
        </w:rPr>
        <w:t>r</w:t>
      </w:r>
      <w:r w:rsidRPr="00495094">
        <w:rPr>
          <w:rFonts w:ascii="Arial" w:hAnsi="Arial" w:cs="Arial"/>
          <w:sz w:val="22"/>
          <w:szCs w:val="22"/>
        </w:rPr>
        <w:t xml:space="preserve"> and PPC transferred and conveyed to LBP the 3,802,428 and 2,999,998 common shares respectively at P100 per share.</w:t>
      </w:r>
    </w:p>
    <w:p w14:paraId="64366ED1" w14:textId="77777777" w:rsidR="002307DC" w:rsidRPr="00495094" w:rsidRDefault="002307DC" w:rsidP="004D4ECC">
      <w:pPr>
        <w:rPr>
          <w:rFonts w:ascii="Arial" w:hAnsi="Arial" w:cs="Arial"/>
          <w:sz w:val="22"/>
          <w:szCs w:val="22"/>
        </w:rPr>
      </w:pPr>
    </w:p>
    <w:p w14:paraId="174646DB" w14:textId="70EA0FD3" w:rsidR="002307DC" w:rsidRPr="00495094" w:rsidRDefault="002307DC" w:rsidP="004D4ECC">
      <w:pPr>
        <w:rPr>
          <w:rFonts w:ascii="Arial" w:hAnsi="Arial" w:cs="Arial"/>
          <w:sz w:val="22"/>
          <w:szCs w:val="22"/>
        </w:rPr>
      </w:pPr>
      <w:r w:rsidRPr="00495094">
        <w:rPr>
          <w:rFonts w:ascii="Arial" w:hAnsi="Arial" w:cs="Arial"/>
          <w:sz w:val="22"/>
          <w:szCs w:val="22"/>
        </w:rPr>
        <w:t>The Monetary Board (MB) of the BSP, in its Resolution No. 358 dated 25 March 2021, approved the application of the Bank to convert its banking license from a thrift bank to a digital bank license, subject to the fulfillment of certain conditions.</w:t>
      </w:r>
    </w:p>
    <w:p w14:paraId="46837EB9" w14:textId="77777777" w:rsidR="004D4ECC" w:rsidRPr="00495094" w:rsidRDefault="004D4ECC" w:rsidP="004D4ECC">
      <w:pPr>
        <w:rPr>
          <w:rFonts w:ascii="Arial" w:hAnsi="Arial" w:cs="Arial"/>
          <w:sz w:val="22"/>
          <w:szCs w:val="22"/>
        </w:rPr>
      </w:pPr>
    </w:p>
    <w:p w14:paraId="6DF78FBD" w14:textId="68230F64" w:rsidR="004D2E2F" w:rsidRPr="00495094" w:rsidRDefault="009F7CD5" w:rsidP="009F7CD5">
      <w:pPr>
        <w:rPr>
          <w:rFonts w:ascii="Arial" w:hAnsi="Arial" w:cs="Arial"/>
          <w:sz w:val="22"/>
          <w:szCs w:val="22"/>
        </w:rPr>
      </w:pPr>
      <w:r w:rsidRPr="00495094">
        <w:rPr>
          <w:rFonts w:ascii="Arial" w:hAnsi="Arial" w:cs="Arial"/>
          <w:sz w:val="22"/>
          <w:szCs w:val="22"/>
        </w:rPr>
        <w:t xml:space="preserve">As stated in its Vision/Mission: “OFB is the first digital bank in the country and the official digital bank of the Philippine government committed to provide convenient, reliable and secure banking solutions responsive to the needs of the global Filipinos, focused on developing long-term relationship with customers and other stakeholders through strategic alliances and partnerships. By 2024, OFB shall be the country’s </w:t>
      </w:r>
      <w:r w:rsidRPr="00495094">
        <w:rPr>
          <w:rFonts w:ascii="Arial" w:hAnsi="Arial" w:cs="Arial"/>
          <w:sz w:val="22"/>
          <w:szCs w:val="22"/>
        </w:rPr>
        <w:lastRenderedPageBreak/>
        <w:t xml:space="preserve">leading OFW-centric Branchless Digital Bank committed to provide competitive and innovative products and services through convenient, reliable and secure banking platforms.”  </w:t>
      </w:r>
    </w:p>
    <w:p w14:paraId="73CDB6CD" w14:textId="77777777" w:rsidR="009F7CD5" w:rsidRPr="00495094" w:rsidRDefault="009F7CD5" w:rsidP="009F7CD5">
      <w:pPr>
        <w:rPr>
          <w:rFonts w:ascii="Arial" w:hAnsi="Arial" w:cs="Arial"/>
          <w:sz w:val="22"/>
          <w:szCs w:val="22"/>
        </w:rPr>
      </w:pPr>
    </w:p>
    <w:p w14:paraId="4D522F02" w14:textId="77777777" w:rsidR="004D2E2F" w:rsidRPr="00495094" w:rsidRDefault="004D2E2F" w:rsidP="00E01BD6">
      <w:pPr>
        <w:rPr>
          <w:rFonts w:ascii="Arial" w:hAnsi="Arial" w:cs="Arial"/>
          <w:sz w:val="22"/>
          <w:szCs w:val="22"/>
        </w:rPr>
      </w:pPr>
      <w:r w:rsidRPr="00495094">
        <w:rPr>
          <w:rFonts w:ascii="Arial" w:hAnsi="Arial" w:cs="Arial"/>
          <w:sz w:val="22"/>
          <w:szCs w:val="22"/>
        </w:rPr>
        <w:t>Its principal place of business is at Liwasang Bonifacio, Intramuros, Manila.</w:t>
      </w:r>
    </w:p>
    <w:p w14:paraId="0E101FC6" w14:textId="77777777" w:rsidR="00771151" w:rsidRPr="00495094" w:rsidRDefault="00771151" w:rsidP="00E01BD6">
      <w:pPr>
        <w:rPr>
          <w:rFonts w:ascii="Arial" w:hAnsi="Arial" w:cs="Arial"/>
          <w:sz w:val="22"/>
          <w:szCs w:val="22"/>
        </w:rPr>
      </w:pPr>
    </w:p>
    <w:p w14:paraId="331CC870" w14:textId="0576F176" w:rsidR="004D206D" w:rsidRPr="00495094" w:rsidRDefault="004D206D" w:rsidP="004D206D">
      <w:pPr>
        <w:pStyle w:val="BodyTextIndent2"/>
        <w:ind w:left="0"/>
        <w:rPr>
          <w:rFonts w:ascii="Arial" w:hAnsi="Arial" w:cs="Arial"/>
          <w:sz w:val="22"/>
          <w:szCs w:val="22"/>
        </w:rPr>
      </w:pPr>
      <w:r w:rsidRPr="00495094">
        <w:rPr>
          <w:rFonts w:ascii="Arial" w:hAnsi="Arial" w:cs="Arial"/>
          <w:sz w:val="22"/>
          <w:szCs w:val="22"/>
        </w:rPr>
        <w:t>As   of   December 31, 202</w:t>
      </w:r>
      <w:r w:rsidR="00DE6C33" w:rsidRPr="00495094">
        <w:rPr>
          <w:rFonts w:ascii="Arial" w:hAnsi="Arial" w:cs="Arial"/>
          <w:sz w:val="22"/>
          <w:szCs w:val="22"/>
        </w:rPr>
        <w:t>2</w:t>
      </w:r>
      <w:r w:rsidRPr="00495094">
        <w:rPr>
          <w:rFonts w:ascii="Arial" w:hAnsi="Arial" w:cs="Arial"/>
          <w:sz w:val="22"/>
          <w:szCs w:val="22"/>
        </w:rPr>
        <w:t xml:space="preserve">, the Bank had </w:t>
      </w:r>
      <w:r w:rsidR="00DE6C33" w:rsidRPr="00495094">
        <w:rPr>
          <w:rFonts w:ascii="Arial" w:hAnsi="Arial" w:cs="Arial"/>
          <w:sz w:val="22"/>
          <w:szCs w:val="22"/>
        </w:rPr>
        <w:t>eight</w:t>
      </w:r>
      <w:r w:rsidRPr="00495094">
        <w:rPr>
          <w:rFonts w:ascii="Arial" w:hAnsi="Arial" w:cs="Arial"/>
          <w:sz w:val="22"/>
          <w:szCs w:val="22"/>
        </w:rPr>
        <w:t xml:space="preserve"> organic employees and </w:t>
      </w:r>
      <w:r w:rsidR="00771151" w:rsidRPr="00495094">
        <w:rPr>
          <w:rFonts w:ascii="Arial" w:hAnsi="Arial" w:cs="Arial"/>
          <w:sz w:val="22"/>
          <w:szCs w:val="22"/>
        </w:rPr>
        <w:t xml:space="preserve">seven </w:t>
      </w:r>
      <w:r w:rsidRPr="00495094">
        <w:rPr>
          <w:rFonts w:ascii="Arial" w:hAnsi="Arial" w:cs="Arial"/>
          <w:sz w:val="22"/>
          <w:szCs w:val="22"/>
        </w:rPr>
        <w:t xml:space="preserve">seconded employees from the </w:t>
      </w:r>
      <w:r w:rsidR="00771151" w:rsidRPr="00495094">
        <w:rPr>
          <w:rFonts w:ascii="Arial" w:hAnsi="Arial" w:cs="Arial"/>
          <w:sz w:val="22"/>
          <w:szCs w:val="22"/>
        </w:rPr>
        <w:t>P</w:t>
      </w:r>
      <w:r w:rsidRPr="00495094">
        <w:rPr>
          <w:rFonts w:ascii="Arial" w:hAnsi="Arial" w:cs="Arial"/>
          <w:sz w:val="22"/>
          <w:szCs w:val="22"/>
        </w:rPr>
        <w:t xml:space="preserve">arent </w:t>
      </w:r>
      <w:r w:rsidR="00771151" w:rsidRPr="00495094">
        <w:rPr>
          <w:rFonts w:ascii="Arial" w:hAnsi="Arial" w:cs="Arial"/>
          <w:sz w:val="22"/>
          <w:szCs w:val="22"/>
        </w:rPr>
        <w:t>B</w:t>
      </w:r>
      <w:r w:rsidRPr="00495094">
        <w:rPr>
          <w:rFonts w:ascii="Arial" w:hAnsi="Arial" w:cs="Arial"/>
          <w:sz w:val="22"/>
          <w:szCs w:val="22"/>
        </w:rPr>
        <w:t>ank.</w:t>
      </w:r>
    </w:p>
    <w:p w14:paraId="3DA15DFE" w14:textId="77777777" w:rsidR="004D4ECC" w:rsidRPr="00495094" w:rsidRDefault="004D4ECC" w:rsidP="001F3786">
      <w:pPr>
        <w:pStyle w:val="BodyTextIndent2"/>
        <w:ind w:left="0"/>
        <w:rPr>
          <w:rFonts w:ascii="Arial" w:hAnsi="Arial" w:cs="Arial"/>
          <w:sz w:val="22"/>
          <w:szCs w:val="22"/>
        </w:rPr>
      </w:pPr>
    </w:p>
    <w:p w14:paraId="51E47B5D" w14:textId="6A1C6836" w:rsidR="00900536" w:rsidRPr="00495094" w:rsidRDefault="000F3CE3" w:rsidP="000F3CE3">
      <w:pPr>
        <w:pStyle w:val="BodyTextIndent2"/>
        <w:ind w:left="0"/>
        <w:rPr>
          <w:rFonts w:ascii="Arial" w:hAnsi="Arial" w:cs="Arial"/>
          <w:sz w:val="22"/>
          <w:szCs w:val="22"/>
        </w:rPr>
      </w:pPr>
      <w:r w:rsidRPr="00495094">
        <w:rPr>
          <w:rFonts w:ascii="Arial" w:hAnsi="Arial" w:cs="Arial"/>
          <w:sz w:val="22"/>
          <w:szCs w:val="22"/>
        </w:rPr>
        <w:t xml:space="preserve">The accompanying comparative financial statements were authorized for issue by the Board of Directors per </w:t>
      </w:r>
      <w:r w:rsidR="00520BD2" w:rsidRPr="00495094">
        <w:rPr>
          <w:rFonts w:ascii="Arial" w:hAnsi="Arial" w:cs="Arial"/>
          <w:sz w:val="22"/>
          <w:szCs w:val="22"/>
        </w:rPr>
        <w:t>Secretary’s Certificate issued on</w:t>
      </w:r>
      <w:r w:rsidR="00EE428C" w:rsidRPr="00495094">
        <w:rPr>
          <w:rFonts w:ascii="Arial" w:hAnsi="Arial" w:cs="Arial"/>
          <w:sz w:val="22"/>
          <w:szCs w:val="22"/>
        </w:rPr>
        <w:t xml:space="preserve"> </w:t>
      </w:r>
      <w:r w:rsidR="0057701E" w:rsidRPr="00495094">
        <w:rPr>
          <w:rFonts w:ascii="Arial" w:hAnsi="Arial" w:cs="Arial"/>
          <w:sz w:val="22"/>
          <w:szCs w:val="22"/>
        </w:rPr>
        <w:t>June 30, 2023</w:t>
      </w:r>
      <w:r w:rsidR="00520BD2" w:rsidRPr="00495094">
        <w:rPr>
          <w:rFonts w:ascii="Arial" w:hAnsi="Arial" w:cs="Arial"/>
          <w:sz w:val="22"/>
          <w:szCs w:val="22"/>
        </w:rPr>
        <w:t>.</w:t>
      </w:r>
    </w:p>
    <w:p w14:paraId="2D1D4CFB" w14:textId="77777777" w:rsidR="000F3CE3" w:rsidRPr="00495094" w:rsidRDefault="000F3CE3" w:rsidP="000F3CE3">
      <w:pPr>
        <w:pStyle w:val="BodyTextIndent2"/>
        <w:ind w:left="0"/>
        <w:rPr>
          <w:rFonts w:ascii="Arial" w:hAnsi="Arial" w:cs="Arial"/>
          <w:sz w:val="22"/>
          <w:szCs w:val="22"/>
        </w:rPr>
      </w:pPr>
    </w:p>
    <w:p w14:paraId="581F0443" w14:textId="77777777" w:rsidR="004D2E2F" w:rsidRPr="00495094" w:rsidRDefault="004D2E2F" w:rsidP="00B018FC">
      <w:pPr>
        <w:pStyle w:val="BodyTextIndent2"/>
        <w:ind w:left="0"/>
        <w:rPr>
          <w:rFonts w:ascii="Arial" w:hAnsi="Arial" w:cs="Arial"/>
          <w:sz w:val="22"/>
          <w:szCs w:val="22"/>
        </w:rPr>
      </w:pPr>
      <w:r w:rsidRPr="00495094">
        <w:rPr>
          <w:rFonts w:ascii="Arial" w:hAnsi="Arial" w:cs="Arial"/>
          <w:sz w:val="22"/>
          <w:szCs w:val="22"/>
        </w:rPr>
        <w:tab/>
      </w:r>
      <w:r w:rsidRPr="00495094">
        <w:rPr>
          <w:rFonts w:ascii="Arial" w:hAnsi="Arial" w:cs="Arial"/>
          <w:sz w:val="22"/>
          <w:szCs w:val="22"/>
        </w:rPr>
        <w:tab/>
      </w:r>
      <w:r w:rsidRPr="00495094">
        <w:rPr>
          <w:rFonts w:ascii="Arial" w:hAnsi="Arial" w:cs="Arial"/>
          <w:sz w:val="22"/>
          <w:szCs w:val="22"/>
        </w:rPr>
        <w:tab/>
      </w:r>
    </w:p>
    <w:p w14:paraId="38F35854" w14:textId="77777777" w:rsidR="004D2E2F" w:rsidRPr="00495094" w:rsidRDefault="00A26BFE" w:rsidP="007F4EEC">
      <w:pPr>
        <w:pStyle w:val="BodyTextIndent2"/>
        <w:numPr>
          <w:ilvl w:val="0"/>
          <w:numId w:val="2"/>
        </w:numPr>
        <w:ind w:left="709" w:hanging="709"/>
        <w:rPr>
          <w:rFonts w:ascii="Arial" w:hAnsi="Arial" w:cs="Arial"/>
          <w:sz w:val="22"/>
          <w:szCs w:val="22"/>
        </w:rPr>
      </w:pPr>
      <w:r w:rsidRPr="00495094">
        <w:rPr>
          <w:rFonts w:ascii="Arial" w:hAnsi="Arial" w:cs="Arial"/>
          <w:b/>
          <w:bCs/>
          <w:sz w:val="22"/>
          <w:szCs w:val="22"/>
        </w:rPr>
        <w:t>Statement of Compliance and Basis of Financial Statements Preparation</w:t>
      </w:r>
    </w:p>
    <w:p w14:paraId="6A906E1F" w14:textId="77777777" w:rsidR="00A26BFE" w:rsidRPr="00495094" w:rsidRDefault="00A26BFE" w:rsidP="00A26BFE">
      <w:pPr>
        <w:pStyle w:val="BodyTextIndent2"/>
        <w:ind w:left="720"/>
        <w:rPr>
          <w:rFonts w:ascii="Arial" w:hAnsi="Arial" w:cs="Arial"/>
          <w:sz w:val="22"/>
          <w:szCs w:val="22"/>
        </w:rPr>
      </w:pPr>
    </w:p>
    <w:p w14:paraId="242FB336" w14:textId="2C7FFBDC" w:rsidR="00FD6284" w:rsidRPr="00495094" w:rsidRDefault="00FD6284" w:rsidP="007F4EEC">
      <w:pPr>
        <w:numPr>
          <w:ilvl w:val="1"/>
          <w:numId w:val="12"/>
        </w:numPr>
        <w:ind w:left="0" w:firstLine="0"/>
        <w:rPr>
          <w:rFonts w:ascii="Arial" w:hAnsi="Arial" w:cs="Arial"/>
          <w:sz w:val="22"/>
          <w:szCs w:val="22"/>
          <w:u w:val="single"/>
        </w:rPr>
      </w:pPr>
      <w:r w:rsidRPr="00495094">
        <w:rPr>
          <w:rFonts w:ascii="Arial" w:hAnsi="Arial" w:cs="Arial"/>
          <w:sz w:val="22"/>
          <w:szCs w:val="22"/>
          <w:u w:val="single"/>
        </w:rPr>
        <w:t>Statement of Compliance</w:t>
      </w:r>
    </w:p>
    <w:p w14:paraId="54FAE68C" w14:textId="77777777" w:rsidR="00FD6284" w:rsidRPr="00495094" w:rsidRDefault="00FD6284" w:rsidP="00FD6284">
      <w:pPr>
        <w:rPr>
          <w:rFonts w:ascii="Arial" w:hAnsi="Arial" w:cs="Arial"/>
          <w:sz w:val="22"/>
          <w:szCs w:val="22"/>
        </w:rPr>
      </w:pPr>
    </w:p>
    <w:p w14:paraId="5AA9FA26" w14:textId="5E6E1034" w:rsidR="00FD6284" w:rsidRPr="00495094" w:rsidRDefault="00FD6284" w:rsidP="00FD6284">
      <w:pPr>
        <w:rPr>
          <w:rFonts w:ascii="Arial" w:hAnsi="Arial" w:cs="Arial"/>
          <w:sz w:val="22"/>
          <w:szCs w:val="22"/>
        </w:rPr>
      </w:pPr>
      <w:r w:rsidRPr="00495094">
        <w:rPr>
          <w:rFonts w:ascii="Arial" w:hAnsi="Arial" w:cs="Arial"/>
          <w:sz w:val="22"/>
          <w:szCs w:val="22"/>
        </w:rPr>
        <w:t xml:space="preserve">The Bank’s financial statements have been prepared in </w:t>
      </w:r>
      <w:r w:rsidR="0067730E" w:rsidRPr="00495094">
        <w:rPr>
          <w:rFonts w:ascii="Arial" w:hAnsi="Arial" w:cs="Arial"/>
          <w:sz w:val="22"/>
          <w:szCs w:val="22"/>
        </w:rPr>
        <w:t xml:space="preserve">compliance </w:t>
      </w:r>
      <w:r w:rsidRPr="00495094">
        <w:rPr>
          <w:rFonts w:ascii="Arial" w:hAnsi="Arial" w:cs="Arial"/>
          <w:sz w:val="22"/>
          <w:szCs w:val="22"/>
        </w:rPr>
        <w:t>with the applicable accounting principles generally accepted in the Philippines and</w:t>
      </w:r>
      <w:r w:rsidR="003C6B8B" w:rsidRPr="00495094">
        <w:rPr>
          <w:rFonts w:ascii="Arial" w:hAnsi="Arial" w:cs="Arial"/>
          <w:sz w:val="22"/>
          <w:szCs w:val="22"/>
        </w:rPr>
        <w:t xml:space="preserve"> as set forth in the Philippine </w:t>
      </w:r>
      <w:r w:rsidRPr="00495094">
        <w:rPr>
          <w:rFonts w:ascii="Arial" w:hAnsi="Arial" w:cs="Arial"/>
          <w:sz w:val="22"/>
          <w:szCs w:val="22"/>
        </w:rPr>
        <w:t>Financial Reporting Standards/</w:t>
      </w:r>
      <w:r w:rsidR="003C6B8B" w:rsidRPr="00495094">
        <w:rPr>
          <w:rFonts w:ascii="Arial" w:hAnsi="Arial" w:cs="Arial"/>
          <w:sz w:val="22"/>
          <w:szCs w:val="22"/>
        </w:rPr>
        <w:t xml:space="preserve">Philippine Accounting Standards </w:t>
      </w:r>
      <w:r w:rsidRPr="00495094">
        <w:rPr>
          <w:rFonts w:ascii="Arial" w:hAnsi="Arial" w:cs="Arial"/>
          <w:sz w:val="22"/>
          <w:szCs w:val="22"/>
        </w:rPr>
        <w:t>(PFRSs/PASs).</w:t>
      </w:r>
    </w:p>
    <w:p w14:paraId="6626621E" w14:textId="77777777" w:rsidR="00FD6284" w:rsidRPr="00495094" w:rsidRDefault="00FD6284" w:rsidP="00E01BD6">
      <w:pPr>
        <w:rPr>
          <w:rFonts w:ascii="Arial" w:hAnsi="Arial" w:cs="Arial"/>
          <w:sz w:val="22"/>
          <w:szCs w:val="22"/>
        </w:rPr>
      </w:pPr>
    </w:p>
    <w:p w14:paraId="41DD92C6" w14:textId="77F7FBBF" w:rsidR="004D2E2F" w:rsidRPr="00495094" w:rsidRDefault="004D2E2F" w:rsidP="007F4EEC">
      <w:pPr>
        <w:numPr>
          <w:ilvl w:val="1"/>
          <w:numId w:val="12"/>
        </w:numPr>
        <w:tabs>
          <w:tab w:val="left" w:pos="709"/>
        </w:tabs>
        <w:ind w:left="0" w:firstLine="0"/>
        <w:rPr>
          <w:rFonts w:ascii="Arial" w:hAnsi="Arial" w:cs="Arial"/>
          <w:sz w:val="22"/>
          <w:szCs w:val="22"/>
        </w:rPr>
      </w:pPr>
      <w:r w:rsidRPr="00495094">
        <w:rPr>
          <w:rFonts w:ascii="Arial" w:hAnsi="Arial" w:cs="Arial"/>
          <w:sz w:val="22"/>
          <w:szCs w:val="22"/>
          <w:u w:val="single"/>
        </w:rPr>
        <w:t>Basis of Financial Statement</w:t>
      </w:r>
      <w:r w:rsidR="001671C5" w:rsidRPr="00495094">
        <w:rPr>
          <w:rFonts w:ascii="Arial" w:hAnsi="Arial" w:cs="Arial"/>
          <w:sz w:val="22"/>
          <w:szCs w:val="22"/>
          <w:u w:val="single"/>
        </w:rPr>
        <w:t>s</w:t>
      </w:r>
      <w:r w:rsidRPr="00495094">
        <w:rPr>
          <w:rFonts w:ascii="Arial" w:hAnsi="Arial" w:cs="Arial"/>
          <w:sz w:val="22"/>
          <w:szCs w:val="22"/>
          <w:u w:val="single"/>
        </w:rPr>
        <w:t xml:space="preserve"> Preparation</w:t>
      </w:r>
    </w:p>
    <w:p w14:paraId="6C5484E7" w14:textId="77777777" w:rsidR="004D2E2F" w:rsidRPr="00495094" w:rsidRDefault="004D2E2F">
      <w:pPr>
        <w:rPr>
          <w:rFonts w:ascii="Arial" w:hAnsi="Arial" w:cs="Arial"/>
          <w:sz w:val="22"/>
          <w:szCs w:val="22"/>
        </w:rPr>
      </w:pPr>
    </w:p>
    <w:p w14:paraId="78F9FFF1" w14:textId="77777777"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 xml:space="preserve">The financial statements have been prepared on historical cost basis unless otherwise stated. </w:t>
      </w:r>
    </w:p>
    <w:p w14:paraId="29DCBD9C" w14:textId="77777777" w:rsidR="00FD6284" w:rsidRPr="00495094" w:rsidRDefault="00FD6284" w:rsidP="00FD6284">
      <w:pPr>
        <w:rPr>
          <w:rFonts w:ascii="Arial" w:hAnsi="Arial" w:cs="Arial"/>
          <w:sz w:val="22"/>
          <w:szCs w:val="22"/>
          <w:lang w:val="en-PH"/>
        </w:rPr>
      </w:pPr>
    </w:p>
    <w:p w14:paraId="1462C34B" w14:textId="3C6A03B7"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 xml:space="preserve">Fair Value through Other Comprehensive Income (FVOCI) are measured at fair value while Loans and Receivables are measured at amortized cost. </w:t>
      </w:r>
      <w:r w:rsidR="006E3079" w:rsidRPr="00495094">
        <w:rPr>
          <w:rFonts w:ascii="Arial" w:hAnsi="Arial" w:cs="Arial"/>
          <w:sz w:val="22"/>
          <w:szCs w:val="22"/>
          <w:lang w:val="en-PH"/>
        </w:rPr>
        <w:t>Held to Maturity Financial Assets are carried at cost less/add premium</w:t>
      </w:r>
      <w:r w:rsidR="00693159" w:rsidRPr="00495094">
        <w:rPr>
          <w:rFonts w:ascii="Arial" w:hAnsi="Arial" w:cs="Arial"/>
          <w:sz w:val="22"/>
          <w:szCs w:val="22"/>
          <w:lang w:val="en-PH"/>
        </w:rPr>
        <w:t>/discount</w:t>
      </w:r>
      <w:r w:rsidR="006E3079" w:rsidRPr="00495094">
        <w:rPr>
          <w:rFonts w:ascii="Arial" w:hAnsi="Arial" w:cs="Arial"/>
          <w:sz w:val="22"/>
          <w:szCs w:val="22"/>
          <w:lang w:val="en-PH"/>
        </w:rPr>
        <w:t xml:space="preserve"> amortizations.</w:t>
      </w:r>
      <w:r w:rsidR="00693159" w:rsidRPr="00495094">
        <w:rPr>
          <w:rFonts w:ascii="Arial" w:hAnsi="Arial" w:cs="Arial"/>
          <w:sz w:val="22"/>
          <w:szCs w:val="22"/>
          <w:lang w:val="en-PH"/>
        </w:rPr>
        <w:t xml:space="preserve"> Discount amortization uses the effective interest rate method.</w:t>
      </w:r>
    </w:p>
    <w:p w14:paraId="2BEAE1E0" w14:textId="77777777" w:rsidR="00FD6284" w:rsidRPr="00495094" w:rsidRDefault="00FD6284" w:rsidP="00FD6284">
      <w:pPr>
        <w:rPr>
          <w:rFonts w:ascii="Arial" w:hAnsi="Arial" w:cs="Arial"/>
          <w:sz w:val="22"/>
          <w:szCs w:val="22"/>
          <w:lang w:val="en-PH"/>
        </w:rPr>
      </w:pPr>
    </w:p>
    <w:p w14:paraId="6CE808BE" w14:textId="36E0C150"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The accompanying financial statements include the accounts maintained in the Regular Banking Unit (RBU) and Foreign Currency Deposit Unit (FCDU). The financial statements prepared for these units are combined after eliminating inter-unit accounts. The functional currency of RBU and FCDU is Philippine Peso and United States Dollar (USD), respectively.  For financial reporting purposes, F</w:t>
      </w:r>
      <w:r w:rsidR="00933404" w:rsidRPr="00495094">
        <w:rPr>
          <w:rFonts w:ascii="Arial" w:hAnsi="Arial" w:cs="Arial"/>
          <w:sz w:val="22"/>
          <w:szCs w:val="22"/>
          <w:lang w:val="en-PH"/>
        </w:rPr>
        <w:t>CD</w:t>
      </w:r>
      <w:r w:rsidRPr="00495094">
        <w:rPr>
          <w:rFonts w:ascii="Arial" w:hAnsi="Arial" w:cs="Arial"/>
          <w:sz w:val="22"/>
          <w:szCs w:val="22"/>
          <w:lang w:val="en-PH"/>
        </w:rPr>
        <w:t>U accounts and foreign currency-denominated assets and liabilities in the RBU are translated in Philippine Peso based on the Bankers Association of the Philippines (BAP) closing rate prevailing at the end the year.</w:t>
      </w:r>
    </w:p>
    <w:p w14:paraId="1CA44DF9" w14:textId="77777777" w:rsidR="00FD6284" w:rsidRPr="00495094" w:rsidRDefault="00FD6284" w:rsidP="00FD6284">
      <w:pPr>
        <w:rPr>
          <w:rFonts w:ascii="Arial" w:hAnsi="Arial" w:cs="Arial"/>
          <w:sz w:val="22"/>
          <w:szCs w:val="22"/>
          <w:lang w:val="en-PH"/>
        </w:rPr>
      </w:pPr>
    </w:p>
    <w:p w14:paraId="66500120" w14:textId="77777777"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The preparation of financial statement requires the use of certain critical accounting estimates. It also requires management to exercise its judgment in the process of applying the Bank’s accounting policies.</w:t>
      </w:r>
    </w:p>
    <w:p w14:paraId="26482741" w14:textId="77777777"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ab/>
      </w:r>
    </w:p>
    <w:p w14:paraId="3916C167" w14:textId="77777777" w:rsidR="00FD6284" w:rsidRPr="00495094" w:rsidRDefault="00FD6284" w:rsidP="00FD6284">
      <w:pPr>
        <w:rPr>
          <w:rFonts w:ascii="Arial" w:hAnsi="Arial" w:cs="Arial"/>
          <w:sz w:val="22"/>
          <w:szCs w:val="22"/>
          <w:lang w:val="en-PH"/>
        </w:rPr>
      </w:pPr>
      <w:r w:rsidRPr="00495094">
        <w:rPr>
          <w:rFonts w:ascii="Arial" w:hAnsi="Arial" w:cs="Arial"/>
          <w:sz w:val="22"/>
          <w:szCs w:val="22"/>
          <w:lang w:val="en-PH"/>
        </w:rPr>
        <w:t>The accounting policies adopted are consistent with those of the previous year.</w:t>
      </w:r>
    </w:p>
    <w:p w14:paraId="39066FA0" w14:textId="77777777" w:rsidR="00FD6284" w:rsidRPr="00495094" w:rsidRDefault="00FD6284" w:rsidP="00FD6284">
      <w:pPr>
        <w:rPr>
          <w:rFonts w:ascii="Arial" w:hAnsi="Arial" w:cs="Arial"/>
          <w:sz w:val="22"/>
          <w:szCs w:val="22"/>
          <w:highlight w:val="yellow"/>
          <w:lang w:val="en-PH"/>
        </w:rPr>
      </w:pPr>
    </w:p>
    <w:p w14:paraId="169A9E9B" w14:textId="7425C2B7" w:rsidR="001671C5" w:rsidRPr="00495094" w:rsidRDefault="00FD6284" w:rsidP="00FD6284">
      <w:pPr>
        <w:rPr>
          <w:rFonts w:ascii="Arial" w:hAnsi="Arial" w:cs="Arial"/>
          <w:sz w:val="22"/>
          <w:szCs w:val="22"/>
          <w:lang w:val="en-PH"/>
        </w:rPr>
      </w:pPr>
      <w:r w:rsidRPr="00495094">
        <w:rPr>
          <w:rFonts w:ascii="Arial" w:hAnsi="Arial" w:cs="Arial"/>
          <w:sz w:val="22"/>
          <w:szCs w:val="22"/>
          <w:lang w:val="en-PH"/>
        </w:rPr>
        <w:t>The financial statements are presented in Philippine Peso and all values are rounded to the nearest peso except when otherwise indicated</w:t>
      </w:r>
      <w:r w:rsidR="009F6D7F" w:rsidRPr="00495094">
        <w:rPr>
          <w:rFonts w:ascii="Arial" w:hAnsi="Arial" w:cs="Arial"/>
          <w:sz w:val="22"/>
          <w:szCs w:val="22"/>
          <w:lang w:val="en-PH"/>
        </w:rPr>
        <w:t>.</w:t>
      </w:r>
    </w:p>
    <w:p w14:paraId="24125A8D" w14:textId="03842CF5" w:rsidR="00B34B4D" w:rsidRPr="00495094" w:rsidRDefault="00B34B4D" w:rsidP="00BB528D">
      <w:pPr>
        <w:pStyle w:val="BodyText2"/>
        <w:rPr>
          <w:rFonts w:ascii="Arial" w:hAnsi="Arial" w:cs="Arial"/>
          <w:b/>
          <w:sz w:val="22"/>
          <w:szCs w:val="22"/>
        </w:rPr>
      </w:pPr>
    </w:p>
    <w:p w14:paraId="00BD5BD8" w14:textId="7B7920B7" w:rsidR="00C85D61" w:rsidRPr="00495094" w:rsidRDefault="00C85D61" w:rsidP="00BB528D">
      <w:pPr>
        <w:pStyle w:val="BodyText2"/>
        <w:rPr>
          <w:rFonts w:ascii="Arial" w:hAnsi="Arial" w:cs="Arial"/>
          <w:b/>
          <w:sz w:val="22"/>
          <w:szCs w:val="22"/>
        </w:rPr>
      </w:pPr>
    </w:p>
    <w:p w14:paraId="70E915F9" w14:textId="77777777" w:rsidR="00C85D61" w:rsidRPr="00495094" w:rsidRDefault="00C85D61" w:rsidP="00BB528D">
      <w:pPr>
        <w:pStyle w:val="BodyText2"/>
        <w:rPr>
          <w:rFonts w:ascii="Arial" w:hAnsi="Arial" w:cs="Arial"/>
          <w:b/>
          <w:sz w:val="22"/>
          <w:szCs w:val="22"/>
        </w:rPr>
      </w:pPr>
    </w:p>
    <w:p w14:paraId="1DCF3A7C" w14:textId="77777777" w:rsidR="005A7E00" w:rsidRPr="00495094" w:rsidRDefault="005A7E00" w:rsidP="00BB528D">
      <w:pPr>
        <w:pStyle w:val="BodyText2"/>
        <w:rPr>
          <w:rFonts w:ascii="Arial" w:hAnsi="Arial" w:cs="Arial"/>
          <w:b/>
          <w:sz w:val="22"/>
          <w:szCs w:val="22"/>
        </w:rPr>
      </w:pPr>
    </w:p>
    <w:p w14:paraId="29387430" w14:textId="77777777" w:rsidR="005A7E00" w:rsidRPr="00495094" w:rsidRDefault="005A7E00" w:rsidP="00BB528D">
      <w:pPr>
        <w:pStyle w:val="BodyText2"/>
        <w:rPr>
          <w:rFonts w:ascii="Arial" w:hAnsi="Arial" w:cs="Arial"/>
          <w:b/>
          <w:sz w:val="22"/>
          <w:szCs w:val="22"/>
        </w:rPr>
      </w:pPr>
    </w:p>
    <w:p w14:paraId="042AB7A6" w14:textId="77777777" w:rsidR="005A7E00" w:rsidRPr="00495094" w:rsidRDefault="005A7E00" w:rsidP="00BB528D">
      <w:pPr>
        <w:pStyle w:val="BodyText2"/>
        <w:rPr>
          <w:rFonts w:ascii="Arial" w:hAnsi="Arial" w:cs="Arial"/>
          <w:b/>
          <w:sz w:val="22"/>
          <w:szCs w:val="22"/>
        </w:rPr>
      </w:pPr>
    </w:p>
    <w:p w14:paraId="36E877AC" w14:textId="77777777" w:rsidR="005A7E00" w:rsidRPr="00495094" w:rsidRDefault="005A7E00" w:rsidP="00BB528D">
      <w:pPr>
        <w:pStyle w:val="BodyText2"/>
        <w:rPr>
          <w:rFonts w:ascii="Arial" w:hAnsi="Arial" w:cs="Arial"/>
          <w:b/>
          <w:sz w:val="22"/>
          <w:szCs w:val="22"/>
        </w:rPr>
      </w:pPr>
    </w:p>
    <w:p w14:paraId="633EBF4D" w14:textId="77777777" w:rsidR="00BB528D" w:rsidRPr="00495094" w:rsidRDefault="00BB528D" w:rsidP="00BB528D">
      <w:pPr>
        <w:pStyle w:val="BodyText2"/>
        <w:rPr>
          <w:rFonts w:ascii="Arial" w:hAnsi="Arial" w:cs="Arial"/>
          <w:b/>
          <w:sz w:val="22"/>
          <w:szCs w:val="22"/>
        </w:rPr>
      </w:pPr>
      <w:r w:rsidRPr="00495094">
        <w:rPr>
          <w:rFonts w:ascii="Arial" w:hAnsi="Arial" w:cs="Arial"/>
          <w:b/>
          <w:sz w:val="22"/>
          <w:szCs w:val="22"/>
        </w:rPr>
        <w:t>Summary of Significant Accounting Policies</w:t>
      </w:r>
    </w:p>
    <w:p w14:paraId="5E404909" w14:textId="77777777" w:rsidR="00BB528D" w:rsidRPr="00495094" w:rsidRDefault="00BB528D" w:rsidP="00FD6284">
      <w:pPr>
        <w:jc w:val="left"/>
        <w:rPr>
          <w:rFonts w:ascii="Arial" w:hAnsi="Arial" w:cs="Arial"/>
          <w:sz w:val="22"/>
          <w:szCs w:val="22"/>
          <w:lang w:val="en-PH"/>
        </w:rPr>
      </w:pPr>
    </w:p>
    <w:p w14:paraId="20BA7F7E" w14:textId="0A9A58F3" w:rsidR="00FD6284" w:rsidRPr="00495094" w:rsidRDefault="00FD6284" w:rsidP="007F4EEC">
      <w:pPr>
        <w:numPr>
          <w:ilvl w:val="1"/>
          <w:numId w:val="12"/>
        </w:numPr>
        <w:tabs>
          <w:tab w:val="left" w:pos="709"/>
        </w:tabs>
        <w:ind w:left="0" w:firstLine="0"/>
        <w:rPr>
          <w:rFonts w:ascii="Arial" w:hAnsi="Arial" w:cs="Arial"/>
          <w:sz w:val="22"/>
          <w:szCs w:val="22"/>
          <w:lang w:val="en-PH"/>
        </w:rPr>
      </w:pPr>
      <w:r w:rsidRPr="00495094">
        <w:rPr>
          <w:rFonts w:ascii="Arial" w:hAnsi="Arial" w:cs="Arial"/>
          <w:sz w:val="22"/>
          <w:szCs w:val="22"/>
          <w:u w:val="single"/>
          <w:lang w:val="en-PH"/>
        </w:rPr>
        <w:t>Adoption of New and Amended PAS/PFRS</w:t>
      </w:r>
    </w:p>
    <w:p w14:paraId="2DB9BF4B" w14:textId="77777777" w:rsidR="00FD6284" w:rsidRPr="00495094" w:rsidRDefault="00FD6284" w:rsidP="00FD6284">
      <w:pPr>
        <w:jc w:val="left"/>
        <w:rPr>
          <w:rFonts w:ascii="Arial" w:hAnsi="Arial" w:cs="Arial"/>
          <w:sz w:val="22"/>
          <w:szCs w:val="22"/>
          <w:lang w:val="en-PH"/>
        </w:rPr>
      </w:pPr>
    </w:p>
    <w:p w14:paraId="27909441" w14:textId="04611A11" w:rsidR="002307DC" w:rsidRPr="00495094" w:rsidRDefault="002307DC" w:rsidP="002307DC">
      <w:pPr>
        <w:rPr>
          <w:rFonts w:ascii="Arial" w:hAnsi="Arial" w:cs="Arial"/>
          <w:sz w:val="22"/>
          <w:szCs w:val="22"/>
          <w:lang w:val="en-PH"/>
        </w:rPr>
      </w:pPr>
      <w:r w:rsidRPr="00495094">
        <w:rPr>
          <w:rFonts w:ascii="Arial" w:hAnsi="Arial" w:cs="Arial"/>
          <w:sz w:val="22"/>
          <w:szCs w:val="22"/>
          <w:lang w:val="en-PH"/>
        </w:rPr>
        <w:t>The Bank adopted for the first time the following new PFRS, amendments to PAS or PFRS, interpretation and annual improvements to PFRS, which are mandatorily effective for annual periods beginning on or after January 1, 202</w:t>
      </w:r>
      <w:r w:rsidR="009940AE" w:rsidRPr="00495094">
        <w:rPr>
          <w:rFonts w:ascii="Arial" w:hAnsi="Arial" w:cs="Arial"/>
          <w:sz w:val="22"/>
          <w:szCs w:val="22"/>
          <w:lang w:val="en-PH"/>
        </w:rPr>
        <w:t>2</w:t>
      </w:r>
      <w:r w:rsidRPr="00495094">
        <w:rPr>
          <w:rFonts w:ascii="Arial" w:hAnsi="Arial" w:cs="Arial"/>
          <w:sz w:val="22"/>
          <w:szCs w:val="22"/>
          <w:lang w:val="en-PH"/>
        </w:rPr>
        <w:t>.</w:t>
      </w:r>
    </w:p>
    <w:p w14:paraId="7094413A" w14:textId="77777777" w:rsidR="002307DC" w:rsidRPr="00495094" w:rsidRDefault="002307DC" w:rsidP="002307DC">
      <w:pPr>
        <w:jc w:val="left"/>
        <w:rPr>
          <w:rFonts w:ascii="Arial" w:hAnsi="Arial" w:cs="Arial"/>
          <w:sz w:val="22"/>
          <w:szCs w:val="22"/>
          <w:lang w:val="en-PH"/>
        </w:rPr>
      </w:pPr>
    </w:p>
    <w:p w14:paraId="6A5C51B9" w14:textId="77777777" w:rsidR="002307DC" w:rsidRPr="00495094" w:rsidRDefault="002307DC" w:rsidP="00510CB0">
      <w:pPr>
        <w:tabs>
          <w:tab w:val="left" w:pos="0"/>
        </w:tabs>
        <w:rPr>
          <w:rFonts w:ascii="Arial" w:hAnsi="Arial" w:cs="Arial"/>
          <w:sz w:val="22"/>
          <w:szCs w:val="22"/>
        </w:rPr>
      </w:pPr>
    </w:p>
    <w:p w14:paraId="00E72C9E" w14:textId="24053816" w:rsidR="00040E6C" w:rsidRPr="00495094" w:rsidRDefault="002307DC" w:rsidP="00040E6C">
      <w:pPr>
        <w:pStyle w:val="ListParagraph"/>
        <w:numPr>
          <w:ilvl w:val="0"/>
          <w:numId w:val="13"/>
        </w:numPr>
        <w:tabs>
          <w:tab w:val="clear" w:pos="1526"/>
        </w:tabs>
        <w:ind w:left="0" w:firstLine="0"/>
      </w:pPr>
      <w:r w:rsidRPr="00495094">
        <w:t>PFRS 3 (Amendments), Business Combination – Reference to the Conceptual Framework (effective from January 01, 2022)</w:t>
      </w:r>
      <w:r w:rsidR="00F55624" w:rsidRPr="00495094">
        <w:t xml:space="preserve">. </w:t>
      </w:r>
      <w:r w:rsidR="0068358E" w:rsidRPr="00495094">
        <w:t>The amendments are intended to replace a reference to the Framework for the Preparation and Presentation of Financial Statements, issued in 1989, with a reference to the Conceptual Framework for Financial Reporting issued in March 2018 without significantly changing its requirements.  The amendments added an exception to the recognition principle of PFRS 3, Business Combinations to avoid the issue of potential ‘day 2’ gains or losses arising for liabilities and contingent liabilities that would be within the scope of PAS 37, Provisions, Contingent Liabilities and Contingent Assets or Philippine –IFRIC 21, Levies, if incurred separately.  At the same time, the amendments add a new paragraph to PFRS 3 to clarify that contingent assets do not quali</w:t>
      </w:r>
      <w:r w:rsidR="00933404" w:rsidRPr="00495094">
        <w:t>f</w:t>
      </w:r>
      <w:r w:rsidR="0068358E" w:rsidRPr="00495094">
        <w:t>y for recognition at the acquisition date</w:t>
      </w:r>
      <w:r w:rsidR="00040E6C" w:rsidRPr="00495094">
        <w:t>.</w:t>
      </w:r>
    </w:p>
    <w:p w14:paraId="185998DC" w14:textId="77777777" w:rsidR="002307DC" w:rsidRPr="00495094" w:rsidRDefault="002307DC" w:rsidP="003F3984">
      <w:pPr>
        <w:pStyle w:val="ListParagraph"/>
        <w:ind w:left="1134"/>
      </w:pPr>
    </w:p>
    <w:p w14:paraId="15D6194B" w14:textId="46D22F6B" w:rsidR="007F2761" w:rsidRPr="00495094" w:rsidRDefault="002307DC" w:rsidP="004E03FB">
      <w:pPr>
        <w:pStyle w:val="ListParagraph"/>
        <w:numPr>
          <w:ilvl w:val="0"/>
          <w:numId w:val="13"/>
        </w:numPr>
        <w:tabs>
          <w:tab w:val="clear" w:pos="1526"/>
          <w:tab w:val="left" w:pos="720"/>
        </w:tabs>
        <w:ind w:left="0" w:firstLine="0"/>
      </w:pPr>
      <w:r w:rsidRPr="00495094">
        <w:t>PAS 16 (Amendments), Property, Plant and Equipment – Proceeds Before Intended Use (effective from January 01, 2022)</w:t>
      </w:r>
      <w:r w:rsidR="007F2761" w:rsidRPr="00495094">
        <w:t>. The amendments prohibit deducting from the cost of an item of property, plant and equipment any proceeds from selling items produced while bringing that asset to the location and condition necessary for it to be capable of operating in the manner intended by management.  Instead, an entity recognizes the proceeds from selling such items, and the cost of producing those items, in profit or loss.</w:t>
      </w:r>
    </w:p>
    <w:p w14:paraId="4049FE13" w14:textId="404515E3" w:rsidR="002307DC" w:rsidRPr="00495094" w:rsidRDefault="002307DC" w:rsidP="004E03FB">
      <w:pPr>
        <w:pStyle w:val="ListParagraph"/>
        <w:tabs>
          <w:tab w:val="clear" w:pos="1526"/>
          <w:tab w:val="left" w:pos="720"/>
        </w:tabs>
      </w:pPr>
    </w:p>
    <w:p w14:paraId="199006F8" w14:textId="77777777" w:rsidR="007F2761" w:rsidRPr="00495094" w:rsidRDefault="002307DC" w:rsidP="004E03FB">
      <w:pPr>
        <w:pStyle w:val="ListParagraph"/>
        <w:numPr>
          <w:ilvl w:val="0"/>
          <w:numId w:val="13"/>
        </w:numPr>
        <w:tabs>
          <w:tab w:val="clear" w:pos="1526"/>
          <w:tab w:val="left" w:pos="720"/>
        </w:tabs>
        <w:ind w:left="0" w:firstLine="0"/>
      </w:pPr>
      <w:r w:rsidRPr="00495094">
        <w:t>PAS 37 (Amendments), Provisions, Contingent Liabilities and Contingent Assets – Onerous Contracts –Cost of Fulfilling a Contract (effective January 01, 2022)</w:t>
      </w:r>
      <w:r w:rsidR="007F2761" w:rsidRPr="00495094">
        <w:t>.  The amendments specify that the ‘cost of fulfilling’ a contract comprises the ‘costs that relate directly to the contract’.  Costs that relate directly to a contract can either be incremental costs of fulfilling that contract (examples would be direct labor, materials) or an allocation of other costs that relate directly to fulfilling contracts (an example would be the allocation of the depreciation charge for an item of property, plant and equipment used in fulfilling the contract).</w:t>
      </w:r>
    </w:p>
    <w:p w14:paraId="42A71A7C" w14:textId="77777777" w:rsidR="00017B83" w:rsidRPr="00495094" w:rsidRDefault="00017B83" w:rsidP="004E03FB">
      <w:pPr>
        <w:pStyle w:val="ListParagraph"/>
        <w:tabs>
          <w:tab w:val="clear" w:pos="1526"/>
          <w:tab w:val="left" w:pos="720"/>
        </w:tabs>
      </w:pPr>
    </w:p>
    <w:p w14:paraId="3E935E34" w14:textId="77777777" w:rsidR="002307DC" w:rsidRPr="00495094" w:rsidRDefault="002307DC" w:rsidP="004E03FB">
      <w:pPr>
        <w:pStyle w:val="ListParagraph"/>
        <w:numPr>
          <w:ilvl w:val="0"/>
          <w:numId w:val="13"/>
        </w:numPr>
        <w:tabs>
          <w:tab w:val="clear" w:pos="1526"/>
          <w:tab w:val="left" w:pos="720"/>
        </w:tabs>
        <w:ind w:left="0" w:firstLine="0"/>
      </w:pPr>
      <w:r w:rsidRPr="00495094">
        <w:t>Annual Improvements to PFRS 2018-2020 Cycle.  Among the improvements, the following amendments, which are effective from January 01, 2022:</w:t>
      </w:r>
    </w:p>
    <w:p w14:paraId="3691D705" w14:textId="77777777" w:rsidR="002307DC" w:rsidRPr="00495094" w:rsidRDefault="002307DC" w:rsidP="002307DC">
      <w:pPr>
        <w:pStyle w:val="ListParagraph"/>
      </w:pPr>
    </w:p>
    <w:p w14:paraId="07A264FD" w14:textId="70BF5794" w:rsidR="00695588" w:rsidRPr="00495094" w:rsidRDefault="00695588" w:rsidP="004E03FB">
      <w:pPr>
        <w:pStyle w:val="ListParagraph"/>
        <w:numPr>
          <w:ilvl w:val="0"/>
          <w:numId w:val="14"/>
        </w:numPr>
        <w:tabs>
          <w:tab w:val="clear" w:pos="1526"/>
          <w:tab w:val="left" w:pos="1440"/>
        </w:tabs>
        <w:ind w:left="720" w:firstLine="0"/>
      </w:pPr>
      <w:r w:rsidRPr="00495094">
        <w:t>PFRS 1 – The amendments permits a subsidiary that applies paragraph D16(a) of PFRS 1 to measure cumulative translation differences using the amounts reported by its parent, based on the parent’s date of transition to PFRSs.</w:t>
      </w:r>
    </w:p>
    <w:p w14:paraId="13F2A466" w14:textId="25915640" w:rsidR="002307DC" w:rsidRPr="00495094" w:rsidRDefault="002307DC" w:rsidP="00695588">
      <w:pPr>
        <w:pStyle w:val="ListParagraph"/>
        <w:numPr>
          <w:ilvl w:val="0"/>
          <w:numId w:val="14"/>
        </w:numPr>
        <w:tabs>
          <w:tab w:val="clear" w:pos="1526"/>
          <w:tab w:val="left" w:pos="1440"/>
        </w:tabs>
        <w:ind w:left="720" w:firstLine="0"/>
      </w:pPr>
      <w:r w:rsidRPr="00495094">
        <w:t>PFRS 9 (Amendments), Financial Instruments –</w:t>
      </w:r>
      <w:r w:rsidR="00695588" w:rsidRPr="00495094">
        <w:t>The amendment clarifies which fees an entity</w:t>
      </w:r>
      <w:r w:rsidR="0090403B" w:rsidRPr="00495094">
        <w:t xml:space="preserve"> includes when it applies the ’10 per cent’ test in paragraph B3.3.6 of PFRS 9 in assessing whether to derecognize a financial liability.  An entity includes only fees paid or received between the entity (the borrower) and the lender, including fees paid or received by either the entity or the lender on the other’s behalf.</w:t>
      </w:r>
    </w:p>
    <w:p w14:paraId="3024B77B" w14:textId="27775273" w:rsidR="005F3526" w:rsidRPr="00495094" w:rsidRDefault="0090403B" w:rsidP="0051547E">
      <w:pPr>
        <w:pStyle w:val="ListParagraph"/>
        <w:numPr>
          <w:ilvl w:val="0"/>
          <w:numId w:val="14"/>
        </w:numPr>
        <w:tabs>
          <w:tab w:val="clear" w:pos="1526"/>
          <w:tab w:val="left" w:pos="1440"/>
        </w:tabs>
        <w:ind w:left="720" w:firstLine="0"/>
      </w:pPr>
      <w:r w:rsidRPr="00495094">
        <w:lastRenderedPageBreak/>
        <w:t xml:space="preserve">PFRS 16 – The amendments to </w:t>
      </w:r>
      <w:r w:rsidR="002307DC" w:rsidRPr="00495094">
        <w:t xml:space="preserve">Illustrative Example </w:t>
      </w:r>
      <w:r w:rsidRPr="00495094">
        <w:t>13 accompanying</w:t>
      </w:r>
      <w:r w:rsidR="002307DC" w:rsidRPr="00495094">
        <w:t xml:space="preserve"> PFRS 16, </w:t>
      </w:r>
      <w:r w:rsidRPr="00495094">
        <w:t>removes from the example the illustration of the reimbursement of leasehold improvements by the lessor in order to resolve any potential confusion regarding the treatment of lease incentives that might arise because of how lease incentives are illustrated in that example.</w:t>
      </w:r>
    </w:p>
    <w:p w14:paraId="1B0B9C49" w14:textId="77777777" w:rsidR="0090403B" w:rsidRPr="00495094" w:rsidRDefault="0090403B" w:rsidP="006A1225">
      <w:pPr>
        <w:pStyle w:val="ListParagraph"/>
        <w:tabs>
          <w:tab w:val="clear" w:pos="1526"/>
          <w:tab w:val="left" w:pos="1440"/>
        </w:tabs>
        <w:ind w:left="720"/>
      </w:pPr>
    </w:p>
    <w:p w14:paraId="4854C038" w14:textId="77777777" w:rsidR="006A1225" w:rsidRPr="00495094" w:rsidRDefault="006A1225" w:rsidP="006A1225">
      <w:pPr>
        <w:pStyle w:val="ListParagraph"/>
        <w:tabs>
          <w:tab w:val="clear" w:pos="1526"/>
          <w:tab w:val="left" w:pos="1440"/>
        </w:tabs>
        <w:ind w:left="720"/>
      </w:pPr>
    </w:p>
    <w:p w14:paraId="51ECB6B4" w14:textId="77777777" w:rsidR="005F3526" w:rsidRPr="00495094" w:rsidRDefault="005F3526" w:rsidP="00510CB0">
      <w:pPr>
        <w:tabs>
          <w:tab w:val="left" w:pos="0"/>
        </w:tabs>
        <w:rPr>
          <w:rFonts w:ascii="Arial" w:hAnsi="Arial" w:cs="Arial"/>
          <w:b/>
        </w:rPr>
      </w:pPr>
      <w:r w:rsidRPr="00495094">
        <w:rPr>
          <w:rFonts w:ascii="Arial" w:hAnsi="Arial" w:cs="Arial"/>
          <w:b/>
          <w:sz w:val="22"/>
          <w:szCs w:val="22"/>
        </w:rPr>
        <w:t>Standards Issued but not yet Effective</w:t>
      </w:r>
    </w:p>
    <w:p w14:paraId="0129EC5D" w14:textId="77777777" w:rsidR="005F3526" w:rsidRPr="00495094" w:rsidRDefault="005F3526" w:rsidP="005F3526">
      <w:pPr>
        <w:pStyle w:val="ListParagraph"/>
        <w:tabs>
          <w:tab w:val="left" w:pos="0"/>
        </w:tabs>
        <w:ind w:left="1920"/>
        <w:rPr>
          <w:b/>
        </w:rPr>
      </w:pPr>
    </w:p>
    <w:p w14:paraId="405D5E83" w14:textId="77777777" w:rsidR="005F3526" w:rsidRPr="00495094" w:rsidRDefault="005F3526" w:rsidP="00510CB0">
      <w:pPr>
        <w:tabs>
          <w:tab w:val="left" w:pos="0"/>
        </w:tabs>
        <w:rPr>
          <w:rFonts w:ascii="Arial" w:hAnsi="Arial" w:cs="Arial"/>
        </w:rPr>
      </w:pPr>
      <w:r w:rsidRPr="00495094">
        <w:rPr>
          <w:rFonts w:ascii="Arial" w:hAnsi="Arial" w:cs="Arial"/>
          <w:sz w:val="22"/>
          <w:szCs w:val="22"/>
        </w:rPr>
        <w:t>Below consists of standards and interpretations issued, which the Bank reasonably expects to be applicable at a future date. The Bank intends to adopt these standards when they become effective. Except as otherwise indicated, the Bank does not expect the adoption of these new and amended standards and interpretations to have significant impact on its financial statements.</w:t>
      </w:r>
    </w:p>
    <w:p w14:paraId="466CAA82" w14:textId="77777777" w:rsidR="002307DC" w:rsidRPr="00495094" w:rsidRDefault="002307DC" w:rsidP="002307DC">
      <w:pPr>
        <w:pStyle w:val="ListParagraph"/>
        <w:ind w:left="786"/>
        <w:rPr>
          <w14:textOutline w14:w="0" w14:cap="flat" w14:cmpd="sng" w14:algn="ctr">
            <w14:noFill/>
            <w14:prstDash w14:val="solid"/>
            <w14:round/>
          </w14:textOutline>
        </w:rPr>
      </w:pPr>
    </w:p>
    <w:p w14:paraId="0A4A1E38" w14:textId="07692911" w:rsidR="004E03FB" w:rsidRPr="00495094" w:rsidRDefault="005F3526" w:rsidP="005F3526">
      <w:pPr>
        <w:pStyle w:val="ListParagraph"/>
        <w:numPr>
          <w:ilvl w:val="0"/>
          <w:numId w:val="17"/>
        </w:numPr>
        <w:tabs>
          <w:tab w:val="left" w:pos="450"/>
        </w:tabs>
        <w:ind w:left="0" w:hanging="24"/>
      </w:pPr>
      <w:r w:rsidRPr="00495094">
        <w:t xml:space="preserve">    </w:t>
      </w:r>
      <w:r w:rsidR="002307DC" w:rsidRPr="00495094">
        <w:t>PAS 1 (Amendments), Presentation of Financial Statements – Classification of Liabilities as Current or Non-current (</w:t>
      </w:r>
      <w:r w:rsidR="008C567A" w:rsidRPr="00495094">
        <w:t>effective January 1, 2023</w:t>
      </w:r>
      <w:r w:rsidR="002307DC" w:rsidRPr="00495094">
        <w:t>)</w:t>
      </w:r>
      <w:r w:rsidR="004E03FB" w:rsidRPr="00495094">
        <w:t>.  The amendments aim to promote consistency in applying the requirements by helping companies determine whether, in the statement of financial position, debt and other liabilities with an uncertain settlement date should be classified as current (due or potentially due to be settled within one year) or non-current.</w:t>
      </w:r>
    </w:p>
    <w:p w14:paraId="2539DDD7" w14:textId="77777777" w:rsidR="002307DC" w:rsidRPr="00495094" w:rsidRDefault="002307DC" w:rsidP="002307DC">
      <w:pPr>
        <w:rPr>
          <w:rFonts w:ascii="Arial" w:hAnsi="Arial" w:cs="Arial"/>
          <w:sz w:val="22"/>
          <w:szCs w:val="22"/>
        </w:rPr>
      </w:pPr>
    </w:p>
    <w:p w14:paraId="38004B23" w14:textId="7B6D982B" w:rsidR="002307DC" w:rsidRPr="00495094" w:rsidRDefault="002307DC" w:rsidP="005F3526">
      <w:pPr>
        <w:pStyle w:val="ListParagraph"/>
        <w:numPr>
          <w:ilvl w:val="0"/>
          <w:numId w:val="17"/>
        </w:numPr>
        <w:tabs>
          <w:tab w:val="clear" w:pos="1526"/>
          <w:tab w:val="left" w:pos="720"/>
        </w:tabs>
        <w:ind w:left="0" w:firstLine="0"/>
      </w:pPr>
      <w:r w:rsidRPr="00495094">
        <w:t>PAS 1 (Amendments), Presentation of Financial Statements – Disclosure of Accounting Policies (effective January 1, 2023)</w:t>
      </w:r>
      <w:r w:rsidR="004E03FB" w:rsidRPr="00495094">
        <w:t>. The amendments require that an entity discloses its material accounting policies, instead of its significant accounting policies.  Further amendments explain how an entity can identify a material accounting policy.</w:t>
      </w:r>
    </w:p>
    <w:p w14:paraId="7E4F42DF" w14:textId="77777777" w:rsidR="002307DC" w:rsidRPr="00495094" w:rsidRDefault="002307DC" w:rsidP="002307DC">
      <w:pPr>
        <w:pStyle w:val="ListParagraph"/>
        <w:ind w:left="786"/>
      </w:pPr>
    </w:p>
    <w:p w14:paraId="1FD2DD32" w14:textId="70E3B1B5" w:rsidR="006A1225" w:rsidRPr="00495094" w:rsidRDefault="006A1225" w:rsidP="005F3526">
      <w:pPr>
        <w:pStyle w:val="ListParagraph"/>
        <w:numPr>
          <w:ilvl w:val="0"/>
          <w:numId w:val="17"/>
        </w:numPr>
        <w:tabs>
          <w:tab w:val="clear" w:pos="1526"/>
          <w:tab w:val="left" w:pos="720"/>
        </w:tabs>
        <w:ind w:left="0" w:firstLine="0"/>
      </w:pPr>
      <w:r w:rsidRPr="00495094">
        <w:t>PFRS 4 (Amendments) Extension of the Temporary Exemption from Applying PFRS 9.  The amendment changes the fixed expiry date for the temporary exemption in PFRS 4 Insurance Contracts from applying PFRS 9 Financial Instruments, so that entities would be required to apply PFRS 9 for annual periods beginning on or after 1 January 2023.</w:t>
      </w:r>
    </w:p>
    <w:p w14:paraId="777C7E75" w14:textId="77777777" w:rsidR="006A1225" w:rsidRPr="00495094" w:rsidRDefault="006A1225" w:rsidP="006A1225">
      <w:pPr>
        <w:pStyle w:val="ListParagraph"/>
      </w:pPr>
    </w:p>
    <w:p w14:paraId="41C557F4" w14:textId="0C722D13" w:rsidR="002307DC" w:rsidRPr="00495094" w:rsidRDefault="002307DC" w:rsidP="005F3526">
      <w:pPr>
        <w:pStyle w:val="ListParagraph"/>
        <w:numPr>
          <w:ilvl w:val="0"/>
          <w:numId w:val="17"/>
        </w:numPr>
        <w:tabs>
          <w:tab w:val="clear" w:pos="1526"/>
          <w:tab w:val="left" w:pos="720"/>
        </w:tabs>
        <w:ind w:left="0" w:firstLine="0"/>
      </w:pPr>
      <w:r w:rsidRPr="00495094">
        <w:t>PAS 8 (Amendments), Accounting Estimates – Definition of Accounting Estimates (effective January 01, 2023)</w:t>
      </w:r>
      <w:r w:rsidR="004E03FB" w:rsidRPr="00495094">
        <w:t>. The amendments replace the definition of a change in accounting estimates with a definition of accounting estimates.  Under the new definition, accounting estimates are “monetary amounts in financial statements that are subject to measurement uncertainty”.</w:t>
      </w:r>
    </w:p>
    <w:p w14:paraId="4ACBF7B1" w14:textId="77777777" w:rsidR="002307DC" w:rsidRPr="00495094" w:rsidRDefault="002307DC" w:rsidP="002307DC">
      <w:pPr>
        <w:pStyle w:val="ListParagraph"/>
      </w:pPr>
    </w:p>
    <w:p w14:paraId="0DEA2928" w14:textId="0CC96729" w:rsidR="002307DC" w:rsidRPr="00495094" w:rsidRDefault="002307DC" w:rsidP="005F3526">
      <w:pPr>
        <w:pStyle w:val="ListParagraph"/>
        <w:numPr>
          <w:ilvl w:val="0"/>
          <w:numId w:val="17"/>
        </w:numPr>
        <w:tabs>
          <w:tab w:val="clear" w:pos="1526"/>
          <w:tab w:val="left" w:pos="720"/>
        </w:tabs>
        <w:ind w:left="0" w:firstLine="0"/>
      </w:pPr>
      <w:r w:rsidRPr="00495094">
        <w:t>PAS 12 (Amendments), Income Taxes – Deferred Tax Related to Assets and Liabilities Arising from a Single Transaction (effective January 1, 2023)</w:t>
      </w:r>
      <w:r w:rsidR="004E03FB" w:rsidRPr="00495094">
        <w:t>.  The amendments clarify that the initial recognition exemption does not apply to transactions in which equal amounts of deductible and taxable temporary differences arise on initial recognition.</w:t>
      </w:r>
    </w:p>
    <w:p w14:paraId="0AD6B412" w14:textId="77777777" w:rsidR="005F3526" w:rsidRPr="00495094" w:rsidRDefault="005F3526" w:rsidP="005F3526">
      <w:pPr>
        <w:pStyle w:val="ListParagraph"/>
      </w:pPr>
    </w:p>
    <w:p w14:paraId="765F0B24" w14:textId="1CB67C7F" w:rsidR="006A1225" w:rsidRPr="00495094" w:rsidRDefault="005F3526" w:rsidP="006A1225">
      <w:pPr>
        <w:pStyle w:val="ListParagraph"/>
        <w:numPr>
          <w:ilvl w:val="0"/>
          <w:numId w:val="17"/>
        </w:numPr>
        <w:tabs>
          <w:tab w:val="clear" w:pos="1526"/>
          <w:tab w:val="left" w:pos="720"/>
        </w:tabs>
        <w:ind w:left="0" w:firstLine="0"/>
      </w:pPr>
      <w:r w:rsidRPr="00495094">
        <w:t>PFRS 17 Insurance Contracts – requires liabilities to be measured at a current fulfillment value and provides a more uniform measurement and presentation approach for all insurance contracts. These requirements are designed to achieve the goal of a consistent, principle-based accounting for insurance contracts</w:t>
      </w:r>
      <w:r w:rsidR="00726320" w:rsidRPr="00495094">
        <w:t>.  PFRS 17 supersedes PFRS 4 Insurance Contracts as of January 01, 2023.</w:t>
      </w:r>
    </w:p>
    <w:p w14:paraId="2B08276F" w14:textId="77777777" w:rsidR="004D0BB2" w:rsidRPr="00495094" w:rsidRDefault="004D0BB2" w:rsidP="000803E4">
      <w:pPr>
        <w:pStyle w:val="BodyText2"/>
        <w:rPr>
          <w:rFonts w:ascii="Arial" w:hAnsi="Arial" w:cs="Arial"/>
          <w:b/>
          <w:sz w:val="22"/>
          <w:szCs w:val="22"/>
        </w:rPr>
      </w:pPr>
    </w:p>
    <w:p w14:paraId="714EA0E6" w14:textId="77777777" w:rsidR="00252789" w:rsidRPr="00495094" w:rsidRDefault="00252789" w:rsidP="000803E4">
      <w:pPr>
        <w:pStyle w:val="BodyText2"/>
        <w:rPr>
          <w:rFonts w:ascii="Arial" w:hAnsi="Arial" w:cs="Arial"/>
          <w:b/>
          <w:sz w:val="22"/>
          <w:szCs w:val="22"/>
        </w:rPr>
      </w:pPr>
    </w:p>
    <w:p w14:paraId="707F92E2" w14:textId="77777777" w:rsidR="00252789" w:rsidRPr="00495094" w:rsidRDefault="00252789" w:rsidP="000803E4">
      <w:pPr>
        <w:pStyle w:val="BodyText2"/>
        <w:rPr>
          <w:rFonts w:ascii="Arial" w:hAnsi="Arial" w:cs="Arial"/>
          <w:b/>
          <w:sz w:val="22"/>
          <w:szCs w:val="22"/>
        </w:rPr>
      </w:pPr>
    </w:p>
    <w:p w14:paraId="6932E7B4" w14:textId="77777777" w:rsidR="00252789" w:rsidRPr="00495094" w:rsidRDefault="00252789" w:rsidP="000803E4">
      <w:pPr>
        <w:pStyle w:val="BodyText2"/>
        <w:rPr>
          <w:rFonts w:ascii="Arial" w:hAnsi="Arial" w:cs="Arial"/>
          <w:b/>
          <w:sz w:val="22"/>
          <w:szCs w:val="22"/>
        </w:rPr>
      </w:pPr>
    </w:p>
    <w:p w14:paraId="0FCD98CB" w14:textId="77777777" w:rsidR="004D2E2F" w:rsidRPr="00495094" w:rsidRDefault="004D2E2F" w:rsidP="007F4EEC">
      <w:pPr>
        <w:numPr>
          <w:ilvl w:val="1"/>
          <w:numId w:val="12"/>
        </w:numPr>
        <w:tabs>
          <w:tab w:val="left" w:pos="709"/>
        </w:tabs>
        <w:ind w:left="0" w:firstLine="0"/>
        <w:rPr>
          <w:rFonts w:ascii="Arial" w:hAnsi="Arial" w:cs="Arial"/>
          <w:sz w:val="22"/>
          <w:szCs w:val="22"/>
          <w:u w:val="single"/>
        </w:rPr>
      </w:pPr>
      <w:r w:rsidRPr="00495094">
        <w:rPr>
          <w:rFonts w:ascii="Arial" w:hAnsi="Arial" w:cs="Arial"/>
          <w:sz w:val="22"/>
          <w:szCs w:val="22"/>
          <w:u w:val="single"/>
        </w:rPr>
        <w:lastRenderedPageBreak/>
        <w:t xml:space="preserve">Foreign </w:t>
      </w:r>
      <w:r w:rsidR="00710DF8" w:rsidRPr="00495094">
        <w:rPr>
          <w:rFonts w:ascii="Arial" w:hAnsi="Arial" w:cs="Arial"/>
          <w:sz w:val="22"/>
          <w:szCs w:val="22"/>
          <w:u w:val="single"/>
        </w:rPr>
        <w:t>currency translation</w:t>
      </w:r>
    </w:p>
    <w:p w14:paraId="5D6B6EF9" w14:textId="77777777" w:rsidR="00E01BD6" w:rsidRPr="00495094" w:rsidRDefault="00E01BD6" w:rsidP="00E01BD6">
      <w:pPr>
        <w:rPr>
          <w:rFonts w:ascii="Arial" w:hAnsi="Arial" w:cs="Arial"/>
          <w:sz w:val="22"/>
          <w:szCs w:val="22"/>
        </w:rPr>
      </w:pPr>
    </w:p>
    <w:p w14:paraId="0C3999EE" w14:textId="3CECD655" w:rsidR="00A73493" w:rsidRPr="00495094" w:rsidRDefault="00A73493" w:rsidP="00A73493">
      <w:pPr>
        <w:pStyle w:val="BodyText2"/>
        <w:rPr>
          <w:rFonts w:ascii="Arial" w:hAnsi="Arial" w:cs="Arial"/>
          <w:sz w:val="22"/>
          <w:szCs w:val="22"/>
        </w:rPr>
      </w:pPr>
      <w:r w:rsidRPr="00495094">
        <w:rPr>
          <w:rFonts w:ascii="Arial" w:hAnsi="Arial" w:cs="Arial"/>
          <w:sz w:val="22"/>
          <w:szCs w:val="22"/>
        </w:rPr>
        <w:t>Foreign currency transactions are accounted for and revalued monthly using the month-end closing rate published by the Banker’s Association of the Philippines.  Foreign exchange differences arising from the revaluation are charged to operations.</w:t>
      </w:r>
    </w:p>
    <w:p w14:paraId="335E38BC" w14:textId="77777777" w:rsidR="00EA4391" w:rsidRPr="00495094" w:rsidRDefault="00EA4391">
      <w:pPr>
        <w:pStyle w:val="BodyText2"/>
        <w:rPr>
          <w:rFonts w:ascii="Arial" w:hAnsi="Arial" w:cs="Arial"/>
          <w:sz w:val="22"/>
          <w:szCs w:val="22"/>
        </w:rPr>
      </w:pPr>
    </w:p>
    <w:p w14:paraId="2AE4C824" w14:textId="77777777" w:rsidR="001D21D3" w:rsidRPr="00495094" w:rsidRDefault="001D21D3" w:rsidP="007F4EEC">
      <w:pPr>
        <w:pStyle w:val="BodyText2"/>
        <w:numPr>
          <w:ilvl w:val="1"/>
          <w:numId w:val="12"/>
        </w:numPr>
        <w:ind w:left="720"/>
        <w:rPr>
          <w:rFonts w:ascii="Arial" w:hAnsi="Arial" w:cs="Arial"/>
          <w:sz w:val="22"/>
          <w:szCs w:val="22"/>
          <w:u w:val="single"/>
        </w:rPr>
      </w:pPr>
      <w:r w:rsidRPr="00495094">
        <w:rPr>
          <w:rFonts w:ascii="Arial" w:hAnsi="Arial" w:cs="Arial"/>
          <w:sz w:val="22"/>
          <w:szCs w:val="22"/>
          <w:u w:val="single"/>
        </w:rPr>
        <w:t>Fair Value Measurement</w:t>
      </w:r>
    </w:p>
    <w:p w14:paraId="25DEE2F3" w14:textId="77777777" w:rsidR="001D21D3" w:rsidRPr="00495094" w:rsidRDefault="001D21D3" w:rsidP="001D21D3">
      <w:pPr>
        <w:pStyle w:val="BodyText2"/>
        <w:rPr>
          <w:rFonts w:ascii="Arial" w:hAnsi="Arial" w:cs="Arial"/>
          <w:i/>
          <w:sz w:val="22"/>
          <w:szCs w:val="22"/>
          <w:u w:val="single"/>
        </w:rPr>
      </w:pPr>
    </w:p>
    <w:p w14:paraId="72B53DE5" w14:textId="77777777" w:rsidR="00E6057C" w:rsidRPr="00495094" w:rsidRDefault="00E6057C" w:rsidP="00E6057C">
      <w:pPr>
        <w:pStyle w:val="BodyText2"/>
        <w:rPr>
          <w:rFonts w:ascii="Arial" w:hAnsi="Arial" w:cs="Arial"/>
          <w:sz w:val="22"/>
          <w:szCs w:val="22"/>
        </w:rPr>
      </w:pPr>
      <w:r w:rsidRPr="00495094">
        <w:rPr>
          <w:rFonts w:ascii="Arial" w:hAnsi="Arial" w:cs="Arial"/>
          <w:sz w:val="22"/>
          <w:szCs w:val="22"/>
        </w:rPr>
        <w:t>The methods and assumptions used by the Bank in estimating the fair value of the financial instruments include the following:</w:t>
      </w:r>
    </w:p>
    <w:p w14:paraId="2E146E2F" w14:textId="77777777" w:rsidR="00E6057C" w:rsidRPr="00495094" w:rsidRDefault="00E6057C" w:rsidP="00E6057C">
      <w:pPr>
        <w:pStyle w:val="BodyText2"/>
        <w:rPr>
          <w:rFonts w:ascii="Arial" w:hAnsi="Arial" w:cs="Arial"/>
          <w:sz w:val="22"/>
          <w:szCs w:val="22"/>
        </w:rPr>
      </w:pPr>
    </w:p>
    <w:p w14:paraId="4A780A2D" w14:textId="77777777" w:rsidR="00A73493" w:rsidRPr="00495094" w:rsidRDefault="00E6057C" w:rsidP="00A73493">
      <w:pPr>
        <w:pStyle w:val="BodyText2"/>
        <w:rPr>
          <w:rFonts w:ascii="Arial" w:hAnsi="Arial" w:cs="Arial"/>
          <w:sz w:val="22"/>
          <w:szCs w:val="22"/>
        </w:rPr>
      </w:pPr>
      <w:r w:rsidRPr="00495094">
        <w:rPr>
          <w:rFonts w:ascii="Arial" w:hAnsi="Arial" w:cs="Arial"/>
          <w:sz w:val="22"/>
          <w:szCs w:val="22"/>
        </w:rPr>
        <w:t xml:space="preserve">Cash and cash equivalents and short-term investments – </w:t>
      </w:r>
      <w:r w:rsidR="00A73493" w:rsidRPr="00495094">
        <w:rPr>
          <w:rFonts w:ascii="Arial" w:hAnsi="Arial" w:cs="Arial"/>
          <w:sz w:val="22"/>
          <w:szCs w:val="22"/>
        </w:rPr>
        <w:t>Carrying amounts that approximate fair values due to the relatively short-term maturity of these instruments.</w:t>
      </w:r>
    </w:p>
    <w:p w14:paraId="35CACAFF" w14:textId="77777777" w:rsidR="00E6057C" w:rsidRPr="00495094" w:rsidRDefault="00E6057C" w:rsidP="00E6057C">
      <w:pPr>
        <w:pStyle w:val="BodyText2"/>
        <w:rPr>
          <w:rFonts w:ascii="Arial" w:hAnsi="Arial" w:cs="Arial"/>
          <w:sz w:val="22"/>
          <w:szCs w:val="22"/>
        </w:rPr>
      </w:pPr>
    </w:p>
    <w:p w14:paraId="3FDA7686" w14:textId="77777777" w:rsidR="00E6057C" w:rsidRPr="00495094" w:rsidRDefault="00E6057C" w:rsidP="00E6057C">
      <w:pPr>
        <w:pStyle w:val="BodyText2"/>
        <w:rPr>
          <w:rFonts w:ascii="Arial" w:hAnsi="Arial" w:cs="Arial"/>
          <w:sz w:val="22"/>
          <w:szCs w:val="22"/>
        </w:rPr>
      </w:pPr>
      <w:r w:rsidRPr="00495094">
        <w:rPr>
          <w:rFonts w:ascii="Arial" w:hAnsi="Arial" w:cs="Arial"/>
          <w:sz w:val="22"/>
          <w:szCs w:val="22"/>
        </w:rPr>
        <w:t>Debt securities – Fair values are generally based upon quoted market prices.  If the market prices are not readily available, fair values are estimated using either value obtained from independent parties offering pricing services or adjusted quoted market prices of comparable investments.</w:t>
      </w:r>
    </w:p>
    <w:p w14:paraId="3B01BD02" w14:textId="77777777" w:rsidR="00E6057C" w:rsidRPr="00495094" w:rsidRDefault="00E6057C" w:rsidP="00E6057C">
      <w:pPr>
        <w:pStyle w:val="BodyText2"/>
        <w:rPr>
          <w:rFonts w:ascii="Arial" w:hAnsi="Arial" w:cs="Arial"/>
          <w:sz w:val="22"/>
          <w:szCs w:val="22"/>
        </w:rPr>
      </w:pPr>
      <w:r w:rsidRPr="00495094">
        <w:rPr>
          <w:rFonts w:ascii="Arial" w:hAnsi="Arial" w:cs="Arial"/>
          <w:sz w:val="22"/>
          <w:szCs w:val="22"/>
        </w:rPr>
        <w:tab/>
      </w:r>
    </w:p>
    <w:p w14:paraId="1D9ECF30" w14:textId="5589FFF6" w:rsidR="00A73493" w:rsidRPr="00495094" w:rsidRDefault="00E6057C" w:rsidP="00A73493">
      <w:pPr>
        <w:pStyle w:val="BodyText2"/>
        <w:rPr>
          <w:rFonts w:ascii="Arial" w:hAnsi="Arial" w:cs="Arial"/>
          <w:sz w:val="22"/>
          <w:szCs w:val="22"/>
        </w:rPr>
      </w:pPr>
      <w:r w:rsidRPr="00495094">
        <w:rPr>
          <w:rFonts w:ascii="Arial" w:hAnsi="Arial" w:cs="Arial"/>
          <w:sz w:val="22"/>
          <w:szCs w:val="22"/>
        </w:rPr>
        <w:t xml:space="preserve">Other financial assets and financial liabilities – </w:t>
      </w:r>
      <w:r w:rsidR="00A73493" w:rsidRPr="00495094">
        <w:rPr>
          <w:rFonts w:ascii="Arial" w:hAnsi="Arial" w:cs="Arial"/>
          <w:sz w:val="22"/>
          <w:szCs w:val="22"/>
        </w:rPr>
        <w:t>Since quoted market prices are not readily available, they are reported at cost.</w:t>
      </w:r>
    </w:p>
    <w:p w14:paraId="685A5010" w14:textId="77777777" w:rsidR="003E4921" w:rsidRPr="00495094" w:rsidRDefault="003E4921" w:rsidP="00A73493">
      <w:pPr>
        <w:pStyle w:val="BodyText2"/>
        <w:rPr>
          <w:rFonts w:ascii="Arial" w:hAnsi="Arial" w:cs="Arial"/>
          <w:sz w:val="22"/>
          <w:szCs w:val="22"/>
        </w:rPr>
      </w:pPr>
    </w:p>
    <w:p w14:paraId="7527A4E5" w14:textId="77777777" w:rsidR="00B97886" w:rsidRPr="00495094" w:rsidRDefault="00A66B7A" w:rsidP="007F4EEC">
      <w:pPr>
        <w:numPr>
          <w:ilvl w:val="1"/>
          <w:numId w:val="12"/>
        </w:numPr>
        <w:ind w:left="720"/>
        <w:rPr>
          <w:rFonts w:ascii="Arial" w:hAnsi="Arial" w:cs="Arial"/>
          <w:sz w:val="22"/>
          <w:szCs w:val="22"/>
        </w:rPr>
      </w:pPr>
      <w:r w:rsidRPr="00495094">
        <w:rPr>
          <w:rFonts w:ascii="Arial" w:hAnsi="Arial" w:cs="Arial"/>
          <w:sz w:val="22"/>
          <w:szCs w:val="22"/>
          <w:u w:val="single"/>
        </w:rPr>
        <w:t>Financial assets and l</w:t>
      </w:r>
      <w:r w:rsidR="00B97886" w:rsidRPr="00495094">
        <w:rPr>
          <w:rFonts w:ascii="Arial" w:hAnsi="Arial" w:cs="Arial"/>
          <w:sz w:val="22"/>
          <w:szCs w:val="22"/>
          <w:u w:val="single"/>
        </w:rPr>
        <w:t>iabilities</w:t>
      </w:r>
    </w:p>
    <w:p w14:paraId="0CEDDE81" w14:textId="77777777" w:rsidR="00B97886" w:rsidRPr="00495094" w:rsidRDefault="00B97886" w:rsidP="00B97886">
      <w:pPr>
        <w:rPr>
          <w:rFonts w:ascii="Arial" w:hAnsi="Arial" w:cs="Arial"/>
          <w:sz w:val="22"/>
          <w:szCs w:val="22"/>
        </w:rPr>
      </w:pPr>
    </w:p>
    <w:p w14:paraId="003D3142" w14:textId="77777777" w:rsidR="00A97DDB" w:rsidRPr="00495094" w:rsidRDefault="00A97DDB" w:rsidP="00A97DDB">
      <w:pPr>
        <w:rPr>
          <w:rFonts w:ascii="Arial" w:hAnsi="Arial" w:cs="Arial"/>
          <w:i/>
          <w:iCs/>
          <w:sz w:val="22"/>
          <w:szCs w:val="22"/>
        </w:rPr>
      </w:pPr>
      <w:r w:rsidRPr="00495094">
        <w:rPr>
          <w:rFonts w:ascii="Arial" w:hAnsi="Arial" w:cs="Arial"/>
          <w:i/>
          <w:iCs/>
          <w:sz w:val="22"/>
          <w:szCs w:val="22"/>
        </w:rPr>
        <w:t>Date of recognition</w:t>
      </w:r>
    </w:p>
    <w:p w14:paraId="2B94A2FB" w14:textId="77777777" w:rsidR="00A97DDB" w:rsidRPr="00495094" w:rsidRDefault="00A97DDB" w:rsidP="00B97886">
      <w:pPr>
        <w:rPr>
          <w:rFonts w:ascii="Arial" w:hAnsi="Arial" w:cs="Arial"/>
          <w:sz w:val="22"/>
          <w:szCs w:val="22"/>
        </w:rPr>
      </w:pPr>
    </w:p>
    <w:p w14:paraId="1C7DB157" w14:textId="77777777" w:rsidR="00B97886" w:rsidRPr="00495094" w:rsidRDefault="00B97886" w:rsidP="00B97886">
      <w:pPr>
        <w:rPr>
          <w:rFonts w:ascii="Arial" w:hAnsi="Arial" w:cs="Arial"/>
          <w:sz w:val="22"/>
          <w:szCs w:val="22"/>
        </w:rPr>
      </w:pPr>
      <w:r w:rsidRPr="00495094">
        <w:rPr>
          <w:rFonts w:ascii="Arial" w:hAnsi="Arial" w:cs="Arial"/>
          <w:sz w:val="22"/>
          <w:szCs w:val="22"/>
        </w:rPr>
        <w:t>Purchases or sales of financial assets that require delivery of assets within the time frame established by regulation or convention in the marketplace are recognized on the settlement date. Deposits, amounts due to banks and customers and loans are recognized when cash is received or released to the borrowers.</w:t>
      </w:r>
    </w:p>
    <w:p w14:paraId="0BA52245" w14:textId="77777777" w:rsidR="00544A45" w:rsidRPr="00495094" w:rsidRDefault="00544A45" w:rsidP="00B97886">
      <w:pPr>
        <w:rPr>
          <w:rFonts w:ascii="Arial" w:hAnsi="Arial" w:cs="Arial"/>
          <w:sz w:val="22"/>
          <w:szCs w:val="22"/>
        </w:rPr>
      </w:pPr>
    </w:p>
    <w:p w14:paraId="28E36875" w14:textId="45AD289F" w:rsidR="00A97DDB" w:rsidRPr="00495094" w:rsidRDefault="00A97DDB" w:rsidP="001E445A">
      <w:pPr>
        <w:rPr>
          <w:rFonts w:ascii="Arial" w:hAnsi="Arial" w:cs="Arial"/>
          <w:i/>
          <w:iCs/>
          <w:sz w:val="22"/>
          <w:szCs w:val="22"/>
        </w:rPr>
      </w:pPr>
      <w:r w:rsidRPr="00495094">
        <w:rPr>
          <w:rFonts w:ascii="Arial" w:hAnsi="Arial" w:cs="Arial"/>
          <w:i/>
          <w:iCs/>
          <w:sz w:val="22"/>
          <w:szCs w:val="22"/>
        </w:rPr>
        <w:t>Initial recognition</w:t>
      </w:r>
      <w:r w:rsidR="00520BD2" w:rsidRPr="00495094">
        <w:rPr>
          <w:rFonts w:ascii="Arial" w:hAnsi="Arial" w:cs="Arial"/>
          <w:i/>
          <w:iCs/>
          <w:sz w:val="22"/>
          <w:szCs w:val="22"/>
        </w:rPr>
        <w:t xml:space="preserve"> and classification</w:t>
      </w:r>
    </w:p>
    <w:p w14:paraId="372B0DDF" w14:textId="77777777" w:rsidR="00A97DDB" w:rsidRPr="00495094" w:rsidRDefault="00A97DDB" w:rsidP="001E445A">
      <w:pPr>
        <w:rPr>
          <w:rFonts w:ascii="Arial" w:hAnsi="Arial" w:cs="Arial"/>
          <w:sz w:val="22"/>
          <w:szCs w:val="22"/>
        </w:rPr>
      </w:pPr>
    </w:p>
    <w:p w14:paraId="09BFF4CA" w14:textId="64E73EC3" w:rsidR="00A97DDB" w:rsidRPr="00495094" w:rsidRDefault="00A97DDB" w:rsidP="001E445A">
      <w:pPr>
        <w:rPr>
          <w:rFonts w:ascii="Arial" w:hAnsi="Arial" w:cs="Arial"/>
          <w:sz w:val="22"/>
          <w:szCs w:val="22"/>
        </w:rPr>
      </w:pPr>
      <w:r w:rsidRPr="00495094">
        <w:rPr>
          <w:rFonts w:ascii="Arial" w:hAnsi="Arial" w:cs="Arial"/>
          <w:sz w:val="22"/>
          <w:szCs w:val="22"/>
        </w:rPr>
        <w:t>The Bank’s financial instruments, including investment securities and loans and receivables, are initially recognized at fair value. Except for financial assets and financial liabilities valued at Fair Value through Profit or Loss (FVTPL). The initial measurement of financial instruments includes transaction costs.  The Bank generally classifies it financial assets in the following measurement categories as: (1) financial assets at FVTPL, (2) financial assets at Fair Value through Other Comprehensive Income (FVOCI) investments, and (3) financial assets at amortized cost</w:t>
      </w:r>
      <w:r w:rsidR="00520BD2" w:rsidRPr="00495094">
        <w:rPr>
          <w:rFonts w:ascii="Arial" w:hAnsi="Arial" w:cs="Arial"/>
          <w:sz w:val="22"/>
          <w:szCs w:val="22"/>
        </w:rPr>
        <w:t>.</w:t>
      </w:r>
      <w:r w:rsidRPr="00495094">
        <w:rPr>
          <w:rFonts w:ascii="Arial" w:hAnsi="Arial" w:cs="Arial"/>
          <w:sz w:val="22"/>
          <w:szCs w:val="22"/>
        </w:rPr>
        <w:t xml:space="preserve"> </w:t>
      </w:r>
    </w:p>
    <w:p w14:paraId="15E3CF84" w14:textId="77777777" w:rsidR="009F7CD5" w:rsidRPr="00495094" w:rsidRDefault="009F7CD5" w:rsidP="00A66B7A">
      <w:pPr>
        <w:rPr>
          <w:rFonts w:ascii="Arial" w:hAnsi="Arial" w:cs="Arial"/>
          <w:sz w:val="22"/>
          <w:szCs w:val="22"/>
        </w:rPr>
      </w:pPr>
    </w:p>
    <w:p w14:paraId="1B964B7D" w14:textId="77777777" w:rsidR="00A66B7A" w:rsidRPr="00495094" w:rsidRDefault="00A66B7A" w:rsidP="00A66B7A">
      <w:pPr>
        <w:rPr>
          <w:rFonts w:ascii="Arial" w:hAnsi="Arial" w:cs="Arial"/>
          <w:sz w:val="22"/>
          <w:szCs w:val="22"/>
        </w:rPr>
      </w:pPr>
      <w:r w:rsidRPr="00495094">
        <w:rPr>
          <w:rFonts w:ascii="Arial" w:hAnsi="Arial" w:cs="Arial"/>
          <w:sz w:val="22"/>
          <w:szCs w:val="22"/>
        </w:rPr>
        <w:t>The Bank classifies its financial assets under the following categories:</w:t>
      </w:r>
    </w:p>
    <w:p w14:paraId="6FDAB3CD" w14:textId="77777777" w:rsidR="00B97886" w:rsidRPr="00495094" w:rsidRDefault="00B97886" w:rsidP="00B97886">
      <w:pPr>
        <w:ind w:left="1440"/>
        <w:rPr>
          <w:rFonts w:ascii="Arial" w:hAnsi="Arial" w:cs="Arial"/>
          <w:sz w:val="22"/>
          <w:szCs w:val="22"/>
        </w:rPr>
      </w:pPr>
    </w:p>
    <w:p w14:paraId="67FC892D" w14:textId="165FAE69" w:rsidR="001E445A" w:rsidRPr="00495094" w:rsidRDefault="001E445A" w:rsidP="007F4EEC">
      <w:pPr>
        <w:numPr>
          <w:ilvl w:val="0"/>
          <w:numId w:val="1"/>
        </w:numPr>
        <w:ind w:left="709" w:hanging="709"/>
        <w:rPr>
          <w:rFonts w:ascii="Arial" w:hAnsi="Arial" w:cs="Arial"/>
          <w:sz w:val="22"/>
          <w:szCs w:val="22"/>
          <w:u w:val="single"/>
        </w:rPr>
      </w:pPr>
      <w:r w:rsidRPr="00495094">
        <w:rPr>
          <w:rFonts w:ascii="Arial" w:hAnsi="Arial" w:cs="Arial"/>
          <w:sz w:val="22"/>
          <w:szCs w:val="22"/>
          <w:u w:val="single"/>
        </w:rPr>
        <w:t xml:space="preserve">Financial assets at Fair Value through Other Comprehensive Income </w:t>
      </w:r>
    </w:p>
    <w:p w14:paraId="5E2773AA" w14:textId="77777777" w:rsidR="001E445A" w:rsidRPr="00495094" w:rsidRDefault="001E445A" w:rsidP="001E445A">
      <w:pPr>
        <w:ind w:left="709"/>
        <w:rPr>
          <w:rFonts w:ascii="Arial" w:hAnsi="Arial" w:cs="Arial"/>
          <w:sz w:val="22"/>
          <w:szCs w:val="22"/>
        </w:rPr>
      </w:pPr>
    </w:p>
    <w:p w14:paraId="2A8D2550" w14:textId="00332F81" w:rsidR="001E445A" w:rsidRPr="00495094" w:rsidRDefault="001E445A" w:rsidP="001E445A">
      <w:pPr>
        <w:ind w:left="709"/>
        <w:rPr>
          <w:rFonts w:ascii="Arial" w:hAnsi="Arial" w:cs="Arial"/>
          <w:sz w:val="22"/>
          <w:szCs w:val="22"/>
        </w:rPr>
      </w:pPr>
      <w:r w:rsidRPr="00495094">
        <w:rPr>
          <w:rFonts w:ascii="Arial" w:hAnsi="Arial" w:cs="Arial"/>
          <w:sz w:val="22"/>
          <w:szCs w:val="22"/>
        </w:rPr>
        <w:t xml:space="preserve">These investments are measured at fair value through other comprehensive income that meets the following conditions: </w:t>
      </w:r>
    </w:p>
    <w:p w14:paraId="03DD3EC4" w14:textId="77777777" w:rsidR="001E445A" w:rsidRPr="00495094" w:rsidRDefault="001E445A" w:rsidP="001E445A">
      <w:pPr>
        <w:ind w:left="709"/>
        <w:rPr>
          <w:rFonts w:ascii="Arial" w:hAnsi="Arial" w:cs="Arial"/>
          <w:sz w:val="22"/>
          <w:szCs w:val="22"/>
        </w:rPr>
      </w:pPr>
    </w:p>
    <w:p w14:paraId="59BD8A5E" w14:textId="77777777" w:rsidR="001E445A" w:rsidRPr="00495094" w:rsidRDefault="001E445A" w:rsidP="007F4EEC">
      <w:pPr>
        <w:pStyle w:val="ListParagraph"/>
        <w:numPr>
          <w:ilvl w:val="0"/>
          <w:numId w:val="6"/>
        </w:numPr>
        <w:tabs>
          <w:tab w:val="clear" w:pos="1526"/>
        </w:tabs>
        <w:ind w:left="1134" w:hanging="283"/>
      </w:pPr>
      <w:r w:rsidRPr="00495094">
        <w:t>the Financial Asset is held within a business model whose objective is achieved by both collecting contractual cash flows and selling financial assets; and</w:t>
      </w:r>
    </w:p>
    <w:p w14:paraId="3A776A2D" w14:textId="48572C05" w:rsidR="00EA4391" w:rsidRPr="00495094" w:rsidRDefault="001E445A" w:rsidP="00216402">
      <w:pPr>
        <w:pStyle w:val="ListParagraph"/>
        <w:numPr>
          <w:ilvl w:val="0"/>
          <w:numId w:val="6"/>
        </w:numPr>
        <w:tabs>
          <w:tab w:val="clear" w:pos="1526"/>
        </w:tabs>
        <w:ind w:left="1134" w:hanging="283"/>
      </w:pPr>
      <w:r w:rsidRPr="00495094">
        <w:t>the contractual terms of the financial asset give rise on specified dates to cash flows that are solely payments of principal and interest on th</w:t>
      </w:r>
      <w:r w:rsidR="00252789" w:rsidRPr="00495094">
        <w:t>e principal amount outstanding.</w:t>
      </w:r>
    </w:p>
    <w:p w14:paraId="073C76FA" w14:textId="6FB2B760" w:rsidR="001E445A" w:rsidRPr="00495094" w:rsidRDefault="001E445A" w:rsidP="007F4EEC">
      <w:pPr>
        <w:numPr>
          <w:ilvl w:val="0"/>
          <w:numId w:val="1"/>
        </w:numPr>
        <w:ind w:left="709" w:hanging="709"/>
        <w:rPr>
          <w:rFonts w:ascii="Arial" w:hAnsi="Arial" w:cs="Arial"/>
          <w:sz w:val="22"/>
          <w:szCs w:val="22"/>
          <w:u w:val="single"/>
        </w:rPr>
      </w:pPr>
      <w:r w:rsidRPr="00495094">
        <w:rPr>
          <w:rFonts w:ascii="Arial" w:hAnsi="Arial" w:cs="Arial"/>
          <w:sz w:val="22"/>
          <w:szCs w:val="22"/>
          <w:u w:val="single"/>
        </w:rPr>
        <w:lastRenderedPageBreak/>
        <w:t>Financial assets at Fair Value through Profit or Loss</w:t>
      </w:r>
    </w:p>
    <w:p w14:paraId="026D96FD" w14:textId="77777777" w:rsidR="00B97886" w:rsidRPr="00495094" w:rsidRDefault="00B97886" w:rsidP="00B97886">
      <w:pPr>
        <w:ind w:left="720"/>
        <w:rPr>
          <w:rFonts w:ascii="Arial" w:hAnsi="Arial" w:cs="Arial"/>
          <w:sz w:val="22"/>
          <w:szCs w:val="22"/>
          <w:u w:val="single"/>
        </w:rPr>
      </w:pPr>
    </w:p>
    <w:p w14:paraId="0C4AC11D" w14:textId="77777777" w:rsidR="001E445A" w:rsidRPr="00495094" w:rsidRDefault="001E445A" w:rsidP="001E445A">
      <w:pPr>
        <w:ind w:left="720"/>
        <w:rPr>
          <w:rFonts w:ascii="Arial" w:hAnsi="Arial" w:cs="Arial"/>
          <w:sz w:val="22"/>
          <w:szCs w:val="22"/>
        </w:rPr>
      </w:pPr>
      <w:r w:rsidRPr="00495094">
        <w:rPr>
          <w:rFonts w:ascii="Arial" w:hAnsi="Arial" w:cs="Arial"/>
          <w:sz w:val="22"/>
          <w:szCs w:val="22"/>
        </w:rPr>
        <w:t>This refers to the debt and equity securities held for trading that are measured at fair value through profit or loss that the company may, at initial recognition, irrevocably designate as such to eliminate or significantly reduce a measurement or recognition inconsistency:  The financial assets are:</w:t>
      </w:r>
    </w:p>
    <w:p w14:paraId="2ADF3C7E" w14:textId="77777777" w:rsidR="001E445A" w:rsidRPr="00495094" w:rsidRDefault="001E445A" w:rsidP="001E445A">
      <w:pPr>
        <w:ind w:left="720"/>
        <w:rPr>
          <w:rFonts w:ascii="Arial" w:hAnsi="Arial" w:cs="Arial"/>
          <w:sz w:val="22"/>
          <w:szCs w:val="22"/>
        </w:rPr>
      </w:pPr>
    </w:p>
    <w:p w14:paraId="51208823" w14:textId="1AF91476" w:rsidR="001E445A" w:rsidRPr="00495094" w:rsidRDefault="001E445A" w:rsidP="007F4EEC">
      <w:pPr>
        <w:pStyle w:val="ListParagraph"/>
        <w:numPr>
          <w:ilvl w:val="0"/>
          <w:numId w:val="7"/>
        </w:numPr>
        <w:tabs>
          <w:tab w:val="clear" w:pos="1526"/>
        </w:tabs>
        <w:ind w:left="1134" w:hanging="283"/>
      </w:pPr>
      <w:r w:rsidRPr="00495094">
        <w:t>acquired principally for the purpose of selling or repurchasing them in the near term; or</w:t>
      </w:r>
    </w:p>
    <w:p w14:paraId="515CD1D1" w14:textId="3A2A7A92" w:rsidR="00B97886" w:rsidRPr="00495094" w:rsidRDefault="001E445A" w:rsidP="007F4EEC">
      <w:pPr>
        <w:pStyle w:val="ListParagraph"/>
        <w:numPr>
          <w:ilvl w:val="0"/>
          <w:numId w:val="7"/>
        </w:numPr>
        <w:tabs>
          <w:tab w:val="clear" w:pos="1526"/>
        </w:tabs>
        <w:ind w:left="1134" w:hanging="283"/>
      </w:pPr>
      <w:r w:rsidRPr="00495094">
        <w:t>part of a portfolio of identified securities that are managed together and for which there is evidence of a recent actual pattern of short-term profit taking.</w:t>
      </w:r>
    </w:p>
    <w:p w14:paraId="4F8DD561" w14:textId="77777777" w:rsidR="001E445A" w:rsidRPr="00495094" w:rsidRDefault="001E445A" w:rsidP="003E4966">
      <w:pPr>
        <w:rPr>
          <w:rFonts w:ascii="Arial" w:hAnsi="Arial" w:cs="Arial"/>
          <w:sz w:val="22"/>
          <w:szCs w:val="22"/>
        </w:rPr>
      </w:pPr>
    </w:p>
    <w:p w14:paraId="4EE90CCB" w14:textId="77777777" w:rsidR="003E4966" w:rsidRPr="00495094" w:rsidRDefault="003E4966" w:rsidP="007F4EEC">
      <w:pPr>
        <w:numPr>
          <w:ilvl w:val="0"/>
          <w:numId w:val="1"/>
        </w:numPr>
        <w:ind w:left="709" w:hanging="709"/>
        <w:rPr>
          <w:rFonts w:ascii="Arial" w:hAnsi="Arial" w:cs="Arial"/>
          <w:sz w:val="22"/>
          <w:szCs w:val="22"/>
          <w:u w:val="single"/>
        </w:rPr>
      </w:pPr>
      <w:r w:rsidRPr="00495094">
        <w:rPr>
          <w:rFonts w:ascii="Arial" w:hAnsi="Arial" w:cs="Arial"/>
          <w:sz w:val="22"/>
          <w:szCs w:val="22"/>
          <w:u w:val="single"/>
        </w:rPr>
        <w:t xml:space="preserve">Financial assets at amortized cost </w:t>
      </w:r>
    </w:p>
    <w:p w14:paraId="634B8044" w14:textId="77777777" w:rsidR="00B97886" w:rsidRPr="00495094" w:rsidRDefault="00B97886" w:rsidP="00B97886">
      <w:pPr>
        <w:rPr>
          <w:rFonts w:ascii="Arial" w:hAnsi="Arial" w:cs="Arial"/>
          <w:sz w:val="22"/>
          <w:szCs w:val="22"/>
        </w:rPr>
      </w:pPr>
    </w:p>
    <w:p w14:paraId="486AE32D" w14:textId="77777777" w:rsidR="007C41FD" w:rsidRPr="00495094" w:rsidRDefault="007C41FD" w:rsidP="007C41FD">
      <w:pPr>
        <w:pStyle w:val="BodyText2"/>
        <w:ind w:left="720"/>
        <w:rPr>
          <w:rFonts w:ascii="Arial" w:hAnsi="Arial" w:cs="Arial"/>
          <w:sz w:val="22"/>
          <w:szCs w:val="22"/>
        </w:rPr>
      </w:pPr>
      <w:r w:rsidRPr="00495094">
        <w:rPr>
          <w:rFonts w:ascii="Arial" w:hAnsi="Arial" w:cs="Arial"/>
          <w:sz w:val="22"/>
          <w:szCs w:val="22"/>
        </w:rPr>
        <w:t>The financial asset shall be measured at amortized cost if the following conditions are met:</w:t>
      </w:r>
    </w:p>
    <w:p w14:paraId="5CAA2867" w14:textId="77777777" w:rsidR="007C41FD" w:rsidRPr="00495094" w:rsidRDefault="007C41FD" w:rsidP="007C41FD">
      <w:pPr>
        <w:pStyle w:val="BodyText2"/>
        <w:ind w:left="720"/>
        <w:rPr>
          <w:rFonts w:ascii="Arial" w:hAnsi="Arial" w:cs="Arial"/>
          <w:sz w:val="22"/>
          <w:szCs w:val="22"/>
        </w:rPr>
      </w:pPr>
    </w:p>
    <w:p w14:paraId="479A0D3D" w14:textId="1340F7D0" w:rsidR="007C41FD" w:rsidRPr="00495094" w:rsidRDefault="007C41FD" w:rsidP="007F4EEC">
      <w:pPr>
        <w:pStyle w:val="BodyText2"/>
        <w:numPr>
          <w:ilvl w:val="0"/>
          <w:numId w:val="10"/>
        </w:numPr>
        <w:ind w:hanging="229"/>
        <w:rPr>
          <w:rFonts w:ascii="Arial" w:hAnsi="Arial" w:cs="Arial"/>
          <w:sz w:val="22"/>
          <w:szCs w:val="22"/>
        </w:rPr>
      </w:pPr>
      <w:r w:rsidRPr="00495094">
        <w:rPr>
          <w:rFonts w:ascii="Arial" w:hAnsi="Arial" w:cs="Arial"/>
          <w:sz w:val="22"/>
          <w:szCs w:val="22"/>
        </w:rPr>
        <w:t>The financial asset is held within a business model whose objective is to hold the financial assets in order to collect contractual cash flows</w:t>
      </w:r>
      <w:r w:rsidR="00D90D4E" w:rsidRPr="00495094">
        <w:rPr>
          <w:rFonts w:ascii="Arial" w:hAnsi="Arial" w:cs="Arial"/>
          <w:sz w:val="22"/>
          <w:szCs w:val="22"/>
        </w:rPr>
        <w:t>;</w:t>
      </w:r>
      <w:r w:rsidRPr="00495094">
        <w:rPr>
          <w:rFonts w:ascii="Arial" w:hAnsi="Arial" w:cs="Arial"/>
          <w:sz w:val="22"/>
          <w:szCs w:val="22"/>
        </w:rPr>
        <w:t xml:space="preserve"> and</w:t>
      </w:r>
    </w:p>
    <w:p w14:paraId="7BFAB978" w14:textId="77777777" w:rsidR="007C41FD" w:rsidRPr="00495094" w:rsidRDefault="007C41FD" w:rsidP="007F4EEC">
      <w:pPr>
        <w:pStyle w:val="BodyText2"/>
        <w:numPr>
          <w:ilvl w:val="0"/>
          <w:numId w:val="10"/>
        </w:numPr>
        <w:tabs>
          <w:tab w:val="left" w:pos="1134"/>
        </w:tabs>
        <w:ind w:hanging="229"/>
        <w:rPr>
          <w:rFonts w:ascii="Arial" w:hAnsi="Arial" w:cs="Arial"/>
          <w:sz w:val="22"/>
          <w:szCs w:val="22"/>
        </w:rPr>
      </w:pPr>
      <w:r w:rsidRPr="00495094">
        <w:rPr>
          <w:rFonts w:ascii="Arial" w:hAnsi="Arial" w:cs="Arial"/>
          <w:sz w:val="22"/>
          <w:szCs w:val="22"/>
        </w:rPr>
        <w:t>The contractual terms of the financial asset give rise on specified dates to cash flows that are solely payments of principal and interest on the principal amount outstanding.</w:t>
      </w:r>
    </w:p>
    <w:p w14:paraId="163D4ACA" w14:textId="77777777" w:rsidR="007C41FD" w:rsidRPr="00495094" w:rsidRDefault="007C41FD" w:rsidP="00B97886">
      <w:pPr>
        <w:rPr>
          <w:rFonts w:ascii="Arial" w:hAnsi="Arial" w:cs="Arial"/>
          <w:sz w:val="22"/>
          <w:szCs w:val="22"/>
        </w:rPr>
      </w:pPr>
    </w:p>
    <w:p w14:paraId="004C6B59" w14:textId="70A21284" w:rsidR="003E4966" w:rsidRPr="00495094" w:rsidRDefault="003E4966" w:rsidP="00A73493">
      <w:pPr>
        <w:pStyle w:val="BodyText2"/>
        <w:ind w:left="720"/>
        <w:rPr>
          <w:rFonts w:ascii="Arial" w:hAnsi="Arial" w:cs="Arial"/>
          <w:sz w:val="22"/>
          <w:szCs w:val="22"/>
        </w:rPr>
      </w:pPr>
      <w:r w:rsidRPr="00495094">
        <w:rPr>
          <w:rFonts w:ascii="Arial" w:hAnsi="Arial" w:cs="Arial"/>
          <w:sz w:val="22"/>
          <w:szCs w:val="22"/>
        </w:rPr>
        <w:t>This represents loans and receivables, due from BSP, due from other banks, and securities under agreement to resell.</w:t>
      </w:r>
    </w:p>
    <w:p w14:paraId="592077F3" w14:textId="77777777" w:rsidR="00544A45" w:rsidRPr="00495094" w:rsidRDefault="00544A45" w:rsidP="00A73493">
      <w:pPr>
        <w:pStyle w:val="BodyText2"/>
        <w:ind w:left="720"/>
        <w:rPr>
          <w:rFonts w:ascii="Arial" w:hAnsi="Arial" w:cs="Arial"/>
          <w:sz w:val="22"/>
          <w:szCs w:val="22"/>
        </w:rPr>
      </w:pPr>
    </w:p>
    <w:p w14:paraId="5383E781" w14:textId="486BBA53" w:rsidR="003E4966" w:rsidRPr="00495094" w:rsidRDefault="003E4966" w:rsidP="003E4966">
      <w:pPr>
        <w:pStyle w:val="BodyText2"/>
        <w:rPr>
          <w:rFonts w:ascii="Arial" w:hAnsi="Arial" w:cs="Arial"/>
          <w:sz w:val="22"/>
          <w:szCs w:val="22"/>
        </w:rPr>
      </w:pPr>
      <w:r w:rsidRPr="00495094">
        <w:rPr>
          <w:rFonts w:ascii="Arial" w:hAnsi="Arial" w:cs="Arial"/>
          <w:sz w:val="22"/>
          <w:szCs w:val="22"/>
        </w:rPr>
        <w:t>The financial liabilities are classified as financial liabilities at FV</w:t>
      </w:r>
      <w:r w:rsidR="00510CEE" w:rsidRPr="00495094">
        <w:rPr>
          <w:rFonts w:ascii="Arial" w:hAnsi="Arial" w:cs="Arial"/>
          <w:sz w:val="22"/>
          <w:szCs w:val="22"/>
        </w:rPr>
        <w:t>T</w:t>
      </w:r>
      <w:r w:rsidRPr="00495094">
        <w:rPr>
          <w:rFonts w:ascii="Arial" w:hAnsi="Arial" w:cs="Arial"/>
          <w:sz w:val="22"/>
          <w:szCs w:val="22"/>
        </w:rPr>
        <w:t xml:space="preserve">PL and financial liabilities at amortized cost. Under PFRS 9, the classification and measurement of financial assets is driven by the entity’s business model for managing the financial assets and the contractual cash flow characteristics of the financial assets. </w:t>
      </w:r>
    </w:p>
    <w:p w14:paraId="6926BDF8" w14:textId="77777777" w:rsidR="003E4966" w:rsidRPr="00495094" w:rsidRDefault="003E4966" w:rsidP="003E4966">
      <w:pPr>
        <w:pStyle w:val="BodyText2"/>
        <w:rPr>
          <w:rFonts w:ascii="Arial" w:hAnsi="Arial" w:cs="Arial"/>
          <w:sz w:val="22"/>
          <w:szCs w:val="22"/>
        </w:rPr>
      </w:pPr>
    </w:p>
    <w:p w14:paraId="402631EA" w14:textId="77777777" w:rsidR="003E4966" w:rsidRPr="00495094" w:rsidRDefault="003E4966" w:rsidP="003E4966">
      <w:pPr>
        <w:pStyle w:val="BodyText2"/>
        <w:rPr>
          <w:rFonts w:ascii="Arial" w:hAnsi="Arial" w:cs="Arial"/>
          <w:i/>
          <w:sz w:val="22"/>
          <w:szCs w:val="22"/>
        </w:rPr>
      </w:pPr>
      <w:r w:rsidRPr="00495094">
        <w:rPr>
          <w:rFonts w:ascii="Arial" w:hAnsi="Arial" w:cs="Arial"/>
          <w:i/>
          <w:sz w:val="22"/>
          <w:szCs w:val="22"/>
        </w:rPr>
        <w:t xml:space="preserve">Determination of fair value </w:t>
      </w:r>
    </w:p>
    <w:p w14:paraId="1455B215" w14:textId="77777777" w:rsidR="003E4966" w:rsidRPr="00495094" w:rsidRDefault="003E4966" w:rsidP="003E4966">
      <w:pPr>
        <w:pStyle w:val="BodyText2"/>
        <w:rPr>
          <w:rFonts w:ascii="Arial" w:hAnsi="Arial" w:cs="Arial"/>
          <w:sz w:val="22"/>
          <w:szCs w:val="22"/>
        </w:rPr>
      </w:pPr>
    </w:p>
    <w:p w14:paraId="0E52BDDF" w14:textId="369D7B76" w:rsidR="003E4966" w:rsidRPr="00495094" w:rsidRDefault="003E4966" w:rsidP="003E4966">
      <w:pPr>
        <w:pStyle w:val="BodyText2"/>
        <w:rPr>
          <w:rFonts w:ascii="Arial" w:hAnsi="Arial" w:cs="Arial"/>
          <w:sz w:val="22"/>
          <w:szCs w:val="22"/>
        </w:rPr>
      </w:pPr>
      <w:r w:rsidRPr="00495094">
        <w:rPr>
          <w:rFonts w:ascii="Arial" w:hAnsi="Arial" w:cs="Arial"/>
          <w:sz w:val="22"/>
          <w:szCs w:val="22"/>
        </w:rPr>
        <w:t>The fair value of financial instruments traded in active markets at the statement of financial position date is based on their quoted market price or dealer price quotation. In the absence of an available current bid or asking prices, the price of the most recent transaction is used because it provides evidence of the current fair value as long as there has no significant change in the economic circumstances since the time of the transaction. For other financial instruments not listed in an active market, the Bank determines fair value using relevant valuation models.</w:t>
      </w:r>
    </w:p>
    <w:p w14:paraId="55E574EB" w14:textId="77777777" w:rsidR="003E4966" w:rsidRPr="00495094" w:rsidRDefault="003E4966" w:rsidP="00A73493">
      <w:pPr>
        <w:pStyle w:val="BodyText2"/>
        <w:ind w:left="720"/>
        <w:rPr>
          <w:rFonts w:ascii="Arial" w:hAnsi="Arial" w:cs="Arial"/>
          <w:sz w:val="22"/>
          <w:szCs w:val="22"/>
        </w:rPr>
      </w:pPr>
    </w:p>
    <w:p w14:paraId="430F411B" w14:textId="4EC53BEF" w:rsidR="003B37ED" w:rsidRPr="00495094" w:rsidRDefault="003B37ED" w:rsidP="007F4EEC">
      <w:pPr>
        <w:pStyle w:val="ListParagraph"/>
        <w:numPr>
          <w:ilvl w:val="1"/>
          <w:numId w:val="12"/>
        </w:numPr>
        <w:tabs>
          <w:tab w:val="left" w:pos="720"/>
        </w:tabs>
        <w:ind w:left="720"/>
        <w:rPr>
          <w:u w:val="single"/>
        </w:rPr>
      </w:pPr>
      <w:r w:rsidRPr="00495094">
        <w:rPr>
          <w:u w:val="single"/>
        </w:rPr>
        <w:t>Impairment</w:t>
      </w:r>
      <w:r w:rsidR="00B8494C" w:rsidRPr="00495094">
        <w:rPr>
          <w:u w:val="single"/>
        </w:rPr>
        <w:t xml:space="preserve"> of Assets</w:t>
      </w:r>
    </w:p>
    <w:p w14:paraId="3B417B9B" w14:textId="77777777" w:rsidR="003B37ED" w:rsidRPr="00495094" w:rsidRDefault="003B37ED" w:rsidP="003B37ED">
      <w:pPr>
        <w:rPr>
          <w:rFonts w:ascii="Arial" w:hAnsi="Arial" w:cs="Arial"/>
          <w:sz w:val="22"/>
          <w:szCs w:val="22"/>
        </w:rPr>
      </w:pPr>
    </w:p>
    <w:p w14:paraId="4C2DC981" w14:textId="77777777" w:rsidR="00E670CF" w:rsidRPr="00495094" w:rsidRDefault="00E670CF" w:rsidP="00E670CF">
      <w:pPr>
        <w:rPr>
          <w:rFonts w:ascii="Arial" w:hAnsi="Arial" w:cs="Arial"/>
          <w:sz w:val="22"/>
          <w:szCs w:val="22"/>
        </w:rPr>
      </w:pPr>
      <w:r w:rsidRPr="00495094">
        <w:rPr>
          <w:rFonts w:ascii="Arial" w:hAnsi="Arial" w:cs="Arial"/>
          <w:sz w:val="22"/>
          <w:szCs w:val="22"/>
        </w:rPr>
        <w:t>The Bank determines at each reporting date if there is objective evidence that assets may be impaired.</w:t>
      </w:r>
    </w:p>
    <w:p w14:paraId="772062BE" w14:textId="77777777" w:rsidR="00E46549" w:rsidRPr="00495094" w:rsidRDefault="00E46549" w:rsidP="00E46549">
      <w:pPr>
        <w:rPr>
          <w:rFonts w:ascii="Arial" w:hAnsi="Arial" w:cs="Arial"/>
          <w:sz w:val="22"/>
          <w:szCs w:val="22"/>
        </w:rPr>
      </w:pPr>
    </w:p>
    <w:p w14:paraId="49FC7AA9" w14:textId="289653F3" w:rsidR="00E46549" w:rsidRPr="00495094" w:rsidRDefault="00E46549" w:rsidP="00E46549">
      <w:pPr>
        <w:rPr>
          <w:rFonts w:ascii="Arial" w:hAnsi="Arial" w:cs="Arial"/>
          <w:i/>
          <w:sz w:val="22"/>
          <w:szCs w:val="22"/>
        </w:rPr>
      </w:pPr>
      <w:r w:rsidRPr="00495094">
        <w:rPr>
          <w:rFonts w:ascii="Arial" w:hAnsi="Arial" w:cs="Arial"/>
          <w:i/>
          <w:sz w:val="22"/>
          <w:szCs w:val="22"/>
        </w:rPr>
        <w:t>Financial assets</w:t>
      </w:r>
      <w:r w:rsidRPr="00495094">
        <w:rPr>
          <w:rFonts w:ascii="Arial" w:hAnsi="Arial" w:cs="Arial"/>
          <w:sz w:val="22"/>
          <w:szCs w:val="22"/>
        </w:rPr>
        <w:t xml:space="preserve"> </w:t>
      </w:r>
      <w:r w:rsidRPr="00495094">
        <w:rPr>
          <w:rFonts w:ascii="Arial" w:hAnsi="Arial" w:cs="Arial"/>
          <w:i/>
          <w:sz w:val="22"/>
          <w:szCs w:val="22"/>
        </w:rPr>
        <w:t>at FVOCI</w:t>
      </w:r>
    </w:p>
    <w:p w14:paraId="3078F807" w14:textId="77777777" w:rsidR="00E46549" w:rsidRPr="00495094" w:rsidRDefault="00E46549" w:rsidP="00E46549">
      <w:pPr>
        <w:rPr>
          <w:rFonts w:ascii="Arial" w:hAnsi="Arial" w:cs="Arial"/>
          <w:sz w:val="22"/>
          <w:szCs w:val="22"/>
        </w:rPr>
      </w:pPr>
    </w:p>
    <w:p w14:paraId="5ADA5D13" w14:textId="77777777" w:rsidR="00E46549" w:rsidRPr="00495094" w:rsidRDefault="00E46549" w:rsidP="00E46549">
      <w:pPr>
        <w:rPr>
          <w:rFonts w:ascii="Arial" w:hAnsi="Arial" w:cs="Arial"/>
          <w:sz w:val="22"/>
          <w:szCs w:val="22"/>
        </w:rPr>
      </w:pPr>
      <w:r w:rsidRPr="00495094">
        <w:rPr>
          <w:rFonts w:ascii="Arial" w:hAnsi="Arial" w:cs="Arial"/>
          <w:sz w:val="22"/>
          <w:szCs w:val="22"/>
        </w:rPr>
        <w:t>The Bank opted to apply the impairment requirements for the recognition and measurement of loss allowance for FVOCI investments.  The said allowance is to be recognized in other comprehensive income and will not reduce the carrying amount of the financial asset in the statement of financial position.</w:t>
      </w:r>
    </w:p>
    <w:p w14:paraId="021781C7" w14:textId="77777777" w:rsidR="00E46549" w:rsidRPr="00495094" w:rsidRDefault="00E46549" w:rsidP="00E670CF">
      <w:pPr>
        <w:rPr>
          <w:rFonts w:ascii="Arial" w:hAnsi="Arial" w:cs="Arial"/>
          <w:sz w:val="22"/>
          <w:szCs w:val="22"/>
        </w:rPr>
      </w:pPr>
    </w:p>
    <w:p w14:paraId="534094C1" w14:textId="77777777" w:rsidR="00252789" w:rsidRPr="00495094" w:rsidRDefault="00252789" w:rsidP="00E670CF">
      <w:pPr>
        <w:rPr>
          <w:rFonts w:ascii="Arial" w:hAnsi="Arial" w:cs="Arial"/>
          <w:i/>
          <w:sz w:val="22"/>
          <w:szCs w:val="22"/>
        </w:rPr>
      </w:pPr>
    </w:p>
    <w:p w14:paraId="4F6384D0" w14:textId="3E9EE99F" w:rsidR="00E670CF" w:rsidRPr="00495094" w:rsidRDefault="00B8494C" w:rsidP="00E670CF">
      <w:pPr>
        <w:rPr>
          <w:rFonts w:ascii="Arial" w:hAnsi="Arial" w:cs="Arial"/>
          <w:i/>
          <w:sz w:val="22"/>
          <w:szCs w:val="22"/>
        </w:rPr>
      </w:pPr>
      <w:r w:rsidRPr="00495094">
        <w:rPr>
          <w:rFonts w:ascii="Arial" w:hAnsi="Arial" w:cs="Arial"/>
          <w:i/>
          <w:sz w:val="22"/>
          <w:szCs w:val="22"/>
        </w:rPr>
        <w:lastRenderedPageBreak/>
        <w:t>Financial a</w:t>
      </w:r>
      <w:r w:rsidR="00E670CF" w:rsidRPr="00495094">
        <w:rPr>
          <w:rFonts w:ascii="Arial" w:hAnsi="Arial" w:cs="Arial"/>
          <w:i/>
          <w:sz w:val="22"/>
          <w:szCs w:val="22"/>
        </w:rPr>
        <w:t>ssets</w:t>
      </w:r>
      <w:r w:rsidRPr="00495094">
        <w:rPr>
          <w:rFonts w:ascii="Arial" w:hAnsi="Arial" w:cs="Arial"/>
          <w:sz w:val="22"/>
          <w:szCs w:val="22"/>
        </w:rPr>
        <w:t xml:space="preserve"> </w:t>
      </w:r>
      <w:r w:rsidRPr="00495094">
        <w:rPr>
          <w:rFonts w:ascii="Arial" w:hAnsi="Arial" w:cs="Arial"/>
          <w:i/>
          <w:sz w:val="22"/>
          <w:szCs w:val="22"/>
        </w:rPr>
        <w:t>at amortized cost</w:t>
      </w:r>
    </w:p>
    <w:p w14:paraId="37EB0F0E" w14:textId="77777777" w:rsidR="00E670CF" w:rsidRPr="00495094" w:rsidRDefault="00E670CF" w:rsidP="00E670CF">
      <w:pPr>
        <w:rPr>
          <w:rFonts w:ascii="Arial" w:hAnsi="Arial" w:cs="Arial"/>
          <w:sz w:val="22"/>
          <w:szCs w:val="22"/>
        </w:rPr>
      </w:pPr>
    </w:p>
    <w:p w14:paraId="4FAD70B7" w14:textId="77777777" w:rsidR="00E670CF" w:rsidRPr="00495094" w:rsidRDefault="00E670CF" w:rsidP="00E670CF">
      <w:pPr>
        <w:rPr>
          <w:rFonts w:ascii="Arial" w:hAnsi="Arial" w:cs="Arial"/>
          <w:sz w:val="22"/>
          <w:szCs w:val="22"/>
        </w:rPr>
      </w:pPr>
      <w:r w:rsidRPr="00495094">
        <w:rPr>
          <w:rFonts w:ascii="Arial" w:hAnsi="Arial" w:cs="Arial"/>
          <w:sz w:val="22"/>
          <w:szCs w:val="22"/>
        </w:rPr>
        <w:t>The Bank calculates the allowance for credit losses by considering on a discounted basis the cash shortfalls it would incur in various default scenarios for prescribed future periods and multiplying the shortfalls by the probability of each scenario occurring.  The allowance is the sum of these probability weighted outcomes.  Because every loan and receivable carries with it some risk of default, every such asset has an expected loss attached to it – from the moment of its origination or acquisition.</w:t>
      </w:r>
    </w:p>
    <w:p w14:paraId="4BC9F425" w14:textId="77777777" w:rsidR="00E670CF" w:rsidRPr="00495094" w:rsidRDefault="00E670CF" w:rsidP="00E670CF">
      <w:pPr>
        <w:rPr>
          <w:rFonts w:ascii="Arial" w:hAnsi="Arial" w:cs="Arial"/>
          <w:sz w:val="22"/>
          <w:szCs w:val="22"/>
        </w:rPr>
      </w:pPr>
    </w:p>
    <w:p w14:paraId="1DA81D37" w14:textId="77777777" w:rsidR="00E670CF" w:rsidRPr="00495094" w:rsidRDefault="00E670CF" w:rsidP="00E670CF">
      <w:pPr>
        <w:rPr>
          <w:rFonts w:ascii="Arial" w:hAnsi="Arial" w:cs="Arial"/>
          <w:sz w:val="22"/>
          <w:szCs w:val="22"/>
        </w:rPr>
      </w:pPr>
      <w:r w:rsidRPr="00495094">
        <w:rPr>
          <w:rFonts w:ascii="Arial" w:hAnsi="Arial" w:cs="Arial"/>
          <w:sz w:val="22"/>
          <w:szCs w:val="22"/>
        </w:rPr>
        <w:t>The Bank recognizes in profit or loss, as impairment gain or loss, the amount of expected credit losses (or reversal) that is required to adjust the loss allowance at the reporting date to the amount that is required to be recognized in accordance with PFRS 9.</w:t>
      </w:r>
    </w:p>
    <w:p w14:paraId="55757E6D" w14:textId="77777777" w:rsidR="00E670CF" w:rsidRPr="00495094" w:rsidRDefault="00E670CF" w:rsidP="00E670CF">
      <w:pPr>
        <w:rPr>
          <w:rFonts w:ascii="Arial" w:hAnsi="Arial" w:cs="Arial"/>
          <w:sz w:val="22"/>
          <w:szCs w:val="22"/>
        </w:rPr>
      </w:pPr>
    </w:p>
    <w:p w14:paraId="625FA2A1" w14:textId="3E6FAD72" w:rsidR="00E670CF" w:rsidRPr="00495094" w:rsidRDefault="00E670CF" w:rsidP="00E670CF">
      <w:pPr>
        <w:rPr>
          <w:rFonts w:ascii="Arial" w:hAnsi="Arial" w:cs="Arial"/>
          <w:sz w:val="22"/>
          <w:szCs w:val="22"/>
        </w:rPr>
      </w:pPr>
      <w:r w:rsidRPr="00495094">
        <w:rPr>
          <w:rFonts w:ascii="Arial" w:hAnsi="Arial" w:cs="Arial"/>
          <w:sz w:val="22"/>
          <w:szCs w:val="22"/>
        </w:rPr>
        <w:t xml:space="preserve">Uncollectible loans are written off against the related allowance account for loan impairment. Such loans are written off after all the necessary procedures have been completed and the amount of loss has been determined. Subsequent recoveries of amounts previously written off are recognized as deductions to provisions in the </w:t>
      </w:r>
      <w:r w:rsidR="00FD3C89" w:rsidRPr="00495094">
        <w:rPr>
          <w:rFonts w:ascii="Arial" w:hAnsi="Arial" w:cs="Arial"/>
          <w:sz w:val="22"/>
          <w:szCs w:val="22"/>
        </w:rPr>
        <w:t>statement of comprehensive</w:t>
      </w:r>
      <w:r w:rsidR="00D90D4E" w:rsidRPr="00495094">
        <w:rPr>
          <w:rFonts w:ascii="Arial" w:hAnsi="Arial" w:cs="Arial"/>
          <w:sz w:val="22"/>
          <w:szCs w:val="22"/>
        </w:rPr>
        <w:t xml:space="preserve"> income</w:t>
      </w:r>
      <w:r w:rsidRPr="00495094">
        <w:rPr>
          <w:rFonts w:ascii="Arial" w:hAnsi="Arial" w:cs="Arial"/>
          <w:sz w:val="22"/>
          <w:szCs w:val="22"/>
        </w:rPr>
        <w:t>.</w:t>
      </w:r>
    </w:p>
    <w:p w14:paraId="762D821D" w14:textId="77777777" w:rsidR="005A7E00" w:rsidRPr="00495094" w:rsidRDefault="005A7E00" w:rsidP="00E670CF">
      <w:pPr>
        <w:rPr>
          <w:rFonts w:ascii="Arial" w:hAnsi="Arial" w:cs="Arial"/>
          <w:sz w:val="22"/>
          <w:szCs w:val="22"/>
        </w:rPr>
      </w:pPr>
    </w:p>
    <w:p w14:paraId="57237016" w14:textId="77777777" w:rsidR="00335E90" w:rsidRPr="00495094" w:rsidRDefault="00335E90" w:rsidP="00335E90">
      <w:pPr>
        <w:rPr>
          <w:rFonts w:ascii="Arial" w:hAnsi="Arial" w:cs="Arial"/>
          <w:sz w:val="22"/>
          <w:szCs w:val="22"/>
        </w:rPr>
      </w:pPr>
      <w:r w:rsidRPr="00495094">
        <w:rPr>
          <w:rFonts w:ascii="Arial" w:hAnsi="Arial" w:cs="Arial"/>
          <w:sz w:val="22"/>
          <w:szCs w:val="22"/>
        </w:rPr>
        <w:t>The Bank measures expected credit losses of a financial instrument that reflects:</w:t>
      </w:r>
    </w:p>
    <w:p w14:paraId="058FD529" w14:textId="77777777" w:rsidR="00335E90" w:rsidRPr="00495094" w:rsidRDefault="00335E90" w:rsidP="00335E90">
      <w:pPr>
        <w:rPr>
          <w:rFonts w:ascii="Arial" w:hAnsi="Arial" w:cs="Arial"/>
          <w:sz w:val="22"/>
          <w:szCs w:val="22"/>
        </w:rPr>
      </w:pPr>
    </w:p>
    <w:p w14:paraId="79F13F36" w14:textId="70E10268" w:rsidR="00335E90" w:rsidRPr="00495094" w:rsidRDefault="00335E90" w:rsidP="00335E90">
      <w:pPr>
        <w:ind w:left="567" w:hanging="567"/>
        <w:rPr>
          <w:rFonts w:ascii="Arial" w:hAnsi="Arial" w:cs="Arial"/>
          <w:sz w:val="22"/>
          <w:szCs w:val="22"/>
        </w:rPr>
      </w:pPr>
      <w:r w:rsidRPr="00495094">
        <w:rPr>
          <w:rFonts w:ascii="Arial" w:hAnsi="Arial" w:cs="Arial"/>
          <w:sz w:val="22"/>
          <w:szCs w:val="22"/>
        </w:rPr>
        <w:t>a.</w:t>
      </w:r>
      <w:r w:rsidRPr="00495094">
        <w:rPr>
          <w:rFonts w:ascii="Arial" w:hAnsi="Arial" w:cs="Arial"/>
          <w:sz w:val="22"/>
          <w:szCs w:val="22"/>
        </w:rPr>
        <w:tab/>
        <w:t>an unbiased and probability</w:t>
      </w:r>
      <w:r w:rsidR="00D90D4E" w:rsidRPr="00495094">
        <w:rPr>
          <w:rFonts w:ascii="Arial" w:hAnsi="Arial" w:cs="Arial"/>
          <w:sz w:val="22"/>
          <w:szCs w:val="22"/>
        </w:rPr>
        <w:t>-</w:t>
      </w:r>
      <w:r w:rsidRPr="00495094">
        <w:rPr>
          <w:rFonts w:ascii="Arial" w:hAnsi="Arial" w:cs="Arial"/>
          <w:sz w:val="22"/>
          <w:szCs w:val="22"/>
        </w:rPr>
        <w:t>weighted amount that is determined by evaluating a range of possible outcomes;</w:t>
      </w:r>
    </w:p>
    <w:p w14:paraId="3712F919" w14:textId="77777777" w:rsidR="00335E90" w:rsidRPr="00495094" w:rsidRDefault="00335E90" w:rsidP="003F2289">
      <w:pPr>
        <w:ind w:left="567" w:hanging="567"/>
        <w:rPr>
          <w:rFonts w:ascii="Arial" w:hAnsi="Arial" w:cs="Arial"/>
          <w:sz w:val="22"/>
          <w:szCs w:val="22"/>
        </w:rPr>
      </w:pPr>
      <w:r w:rsidRPr="00495094">
        <w:rPr>
          <w:rFonts w:ascii="Arial" w:hAnsi="Arial" w:cs="Arial"/>
          <w:sz w:val="22"/>
          <w:szCs w:val="22"/>
        </w:rPr>
        <w:t>b.</w:t>
      </w:r>
      <w:r w:rsidRPr="00495094">
        <w:rPr>
          <w:rFonts w:ascii="Arial" w:hAnsi="Arial" w:cs="Arial"/>
          <w:sz w:val="22"/>
          <w:szCs w:val="22"/>
        </w:rPr>
        <w:tab/>
        <w:t>the time value of money; and</w:t>
      </w:r>
    </w:p>
    <w:p w14:paraId="6DEAFEEF" w14:textId="77777777" w:rsidR="00335E90" w:rsidRPr="00495094" w:rsidRDefault="00335E90" w:rsidP="00335E90">
      <w:pPr>
        <w:ind w:left="567" w:hanging="567"/>
        <w:rPr>
          <w:rFonts w:ascii="Arial" w:hAnsi="Arial" w:cs="Arial"/>
          <w:sz w:val="22"/>
          <w:szCs w:val="22"/>
        </w:rPr>
      </w:pPr>
      <w:r w:rsidRPr="00495094">
        <w:rPr>
          <w:rFonts w:ascii="Arial" w:hAnsi="Arial" w:cs="Arial"/>
          <w:sz w:val="22"/>
          <w:szCs w:val="22"/>
        </w:rPr>
        <w:t>c.</w:t>
      </w:r>
      <w:r w:rsidRPr="00495094">
        <w:rPr>
          <w:rFonts w:ascii="Arial" w:hAnsi="Arial" w:cs="Arial"/>
          <w:sz w:val="22"/>
          <w:szCs w:val="22"/>
        </w:rPr>
        <w:tab/>
        <w:t>reasonable and supportable information that is available without undue cost or effort at the reporting date about past events, current conditions and forecasts of future economic conditions.”</w:t>
      </w:r>
    </w:p>
    <w:p w14:paraId="6B430245" w14:textId="77777777" w:rsidR="00335E90" w:rsidRPr="00495094" w:rsidRDefault="00335E90" w:rsidP="00335E90">
      <w:pPr>
        <w:rPr>
          <w:rFonts w:ascii="Arial" w:hAnsi="Arial" w:cs="Arial"/>
          <w:sz w:val="22"/>
          <w:szCs w:val="22"/>
        </w:rPr>
      </w:pPr>
    </w:p>
    <w:p w14:paraId="62F16B79" w14:textId="62B4F5C5" w:rsidR="00335E90" w:rsidRPr="00495094" w:rsidRDefault="00335E90" w:rsidP="00335E90">
      <w:pPr>
        <w:rPr>
          <w:rFonts w:ascii="Arial" w:hAnsi="Arial" w:cs="Arial"/>
          <w:sz w:val="22"/>
          <w:szCs w:val="22"/>
        </w:rPr>
      </w:pPr>
      <w:r w:rsidRPr="00495094">
        <w:rPr>
          <w:rFonts w:ascii="Arial" w:hAnsi="Arial" w:cs="Arial"/>
          <w:sz w:val="22"/>
          <w:szCs w:val="22"/>
        </w:rPr>
        <w:t>The maximum period considered when measuring expected credit losses is the maximum contractual period (including extension options) over which the entity is exposed to credit risk and not a longer period, even if that longer period is consistent with business practice.</w:t>
      </w:r>
    </w:p>
    <w:p w14:paraId="24593686" w14:textId="77777777" w:rsidR="00630593" w:rsidRPr="00495094" w:rsidRDefault="00630593" w:rsidP="00E670CF">
      <w:pPr>
        <w:rPr>
          <w:rFonts w:ascii="Arial" w:hAnsi="Arial" w:cs="Arial"/>
          <w:sz w:val="22"/>
          <w:szCs w:val="22"/>
        </w:rPr>
      </w:pPr>
    </w:p>
    <w:p w14:paraId="2EBE195D" w14:textId="1B6FD79E" w:rsidR="00E670CF" w:rsidRPr="00495094" w:rsidRDefault="00E670CF" w:rsidP="00E670CF">
      <w:pPr>
        <w:rPr>
          <w:rFonts w:ascii="Arial" w:hAnsi="Arial" w:cs="Arial"/>
          <w:i/>
          <w:sz w:val="22"/>
          <w:szCs w:val="22"/>
        </w:rPr>
      </w:pPr>
      <w:r w:rsidRPr="00495094">
        <w:rPr>
          <w:rFonts w:ascii="Arial" w:hAnsi="Arial" w:cs="Arial"/>
          <w:i/>
          <w:sz w:val="22"/>
          <w:szCs w:val="22"/>
        </w:rPr>
        <w:t>Property and Equipment and Other Assets</w:t>
      </w:r>
    </w:p>
    <w:p w14:paraId="4DDFD5DB" w14:textId="77777777" w:rsidR="00E670CF" w:rsidRPr="00495094" w:rsidRDefault="00E670CF" w:rsidP="00E670CF">
      <w:pPr>
        <w:rPr>
          <w:rFonts w:ascii="Arial" w:hAnsi="Arial" w:cs="Arial"/>
          <w:sz w:val="22"/>
          <w:szCs w:val="22"/>
        </w:rPr>
      </w:pPr>
    </w:p>
    <w:p w14:paraId="1F1C20EE" w14:textId="77777777" w:rsidR="00E670CF" w:rsidRPr="00495094" w:rsidRDefault="00E670CF" w:rsidP="00E670CF">
      <w:pPr>
        <w:rPr>
          <w:rFonts w:ascii="Arial" w:hAnsi="Arial" w:cs="Arial"/>
          <w:sz w:val="22"/>
          <w:szCs w:val="22"/>
        </w:rPr>
      </w:pPr>
      <w:r w:rsidRPr="00495094">
        <w:rPr>
          <w:rFonts w:ascii="Arial" w:hAnsi="Arial" w:cs="Arial"/>
          <w:sz w:val="22"/>
          <w:szCs w:val="22"/>
        </w:rPr>
        <w:t>Where an indicator of impairment exists, the Bank makes a formal estimate of recoverable amount. Where the carrying amount of an asset exceeds its recoverable amount, the asset is considered impaired and is written down to its recoverable amount. Recoverable amount is the higher of its fair market value less cost to sell and its value in use. Value in use is the present value of the future cash flows expected to be derived from an asset. The impairment loss on non-revalued asset is recognized in the profit or loss and an allowance account is set up to reduce the carrying amount of the asset.</w:t>
      </w:r>
    </w:p>
    <w:p w14:paraId="1CA19CC6" w14:textId="77777777" w:rsidR="006F1C39" w:rsidRPr="00495094" w:rsidRDefault="006F1C39" w:rsidP="003512DD">
      <w:pPr>
        <w:rPr>
          <w:rFonts w:ascii="Arial" w:hAnsi="Arial" w:cs="Arial"/>
          <w:bCs/>
          <w:sz w:val="22"/>
          <w:szCs w:val="22"/>
        </w:rPr>
      </w:pPr>
    </w:p>
    <w:p w14:paraId="6044C24A" w14:textId="77777777" w:rsidR="006D37E3" w:rsidRPr="00495094" w:rsidRDefault="001702B9" w:rsidP="007F4EEC">
      <w:pPr>
        <w:pStyle w:val="ListParagraph"/>
        <w:numPr>
          <w:ilvl w:val="1"/>
          <w:numId w:val="12"/>
        </w:numPr>
        <w:tabs>
          <w:tab w:val="clear" w:pos="1526"/>
        </w:tabs>
        <w:ind w:left="720"/>
      </w:pPr>
      <w:r w:rsidRPr="00495094">
        <w:rPr>
          <w:u w:val="single"/>
        </w:rPr>
        <w:t xml:space="preserve">Property </w:t>
      </w:r>
      <w:r w:rsidR="006D37E3" w:rsidRPr="00495094">
        <w:rPr>
          <w:u w:val="single"/>
        </w:rPr>
        <w:t>and Equipment</w:t>
      </w:r>
    </w:p>
    <w:p w14:paraId="48DE7BA8" w14:textId="77777777" w:rsidR="006D37E3" w:rsidRPr="00495094" w:rsidRDefault="006D37E3" w:rsidP="006D37E3">
      <w:pPr>
        <w:rPr>
          <w:rFonts w:ascii="Arial" w:hAnsi="Arial" w:cs="Arial"/>
          <w:sz w:val="22"/>
          <w:szCs w:val="22"/>
        </w:rPr>
      </w:pPr>
    </w:p>
    <w:p w14:paraId="6F97A141" w14:textId="77777777" w:rsidR="00252789" w:rsidRPr="00495094" w:rsidRDefault="003B37ED" w:rsidP="00664BB1">
      <w:pPr>
        <w:rPr>
          <w:rFonts w:ascii="Arial" w:hAnsi="Arial" w:cs="Arial"/>
          <w:sz w:val="22"/>
          <w:szCs w:val="22"/>
        </w:rPr>
      </w:pPr>
      <w:r w:rsidRPr="00495094">
        <w:rPr>
          <w:rFonts w:ascii="Arial" w:hAnsi="Arial" w:cs="Arial"/>
          <w:sz w:val="22"/>
          <w:szCs w:val="22"/>
        </w:rPr>
        <w:t xml:space="preserve">Property </w:t>
      </w:r>
      <w:r w:rsidR="006D37E3" w:rsidRPr="00495094">
        <w:rPr>
          <w:rFonts w:ascii="Arial" w:hAnsi="Arial" w:cs="Arial"/>
          <w:sz w:val="22"/>
          <w:szCs w:val="22"/>
        </w:rPr>
        <w:t xml:space="preserve">and equipment including leasehold improvements are stated at cost less accumulated depreciation and amortization and any impairment in value.  </w:t>
      </w:r>
    </w:p>
    <w:p w14:paraId="7D3FA585" w14:textId="77777777" w:rsidR="00252789" w:rsidRPr="00495094" w:rsidRDefault="00252789" w:rsidP="00664BB1">
      <w:pPr>
        <w:rPr>
          <w:rFonts w:ascii="Arial" w:hAnsi="Arial" w:cs="Arial"/>
          <w:sz w:val="22"/>
          <w:szCs w:val="22"/>
        </w:rPr>
      </w:pPr>
    </w:p>
    <w:p w14:paraId="0DBDDC4D" w14:textId="77777777" w:rsidR="00252789" w:rsidRPr="00495094" w:rsidRDefault="00252789" w:rsidP="00664BB1">
      <w:pPr>
        <w:rPr>
          <w:rFonts w:ascii="Arial" w:hAnsi="Arial" w:cs="Arial"/>
          <w:sz w:val="22"/>
          <w:szCs w:val="22"/>
        </w:rPr>
      </w:pPr>
    </w:p>
    <w:p w14:paraId="47B9288D" w14:textId="77777777" w:rsidR="00252789" w:rsidRPr="00495094" w:rsidRDefault="00252789" w:rsidP="00664BB1">
      <w:pPr>
        <w:rPr>
          <w:rFonts w:ascii="Arial" w:hAnsi="Arial" w:cs="Arial"/>
          <w:sz w:val="22"/>
          <w:szCs w:val="22"/>
        </w:rPr>
      </w:pPr>
    </w:p>
    <w:p w14:paraId="1A3AAFA7" w14:textId="27121F18" w:rsidR="006D37E3" w:rsidRPr="00495094" w:rsidRDefault="006D37E3" w:rsidP="00664BB1">
      <w:pPr>
        <w:rPr>
          <w:rFonts w:ascii="Arial" w:hAnsi="Arial" w:cs="Arial"/>
          <w:sz w:val="22"/>
          <w:szCs w:val="22"/>
        </w:rPr>
      </w:pPr>
      <w:r w:rsidRPr="00495094">
        <w:rPr>
          <w:rFonts w:ascii="Arial" w:hAnsi="Arial" w:cs="Arial"/>
          <w:sz w:val="22"/>
          <w:szCs w:val="22"/>
        </w:rPr>
        <w:lastRenderedPageBreak/>
        <w:t xml:space="preserve">Depreciation is computed based on a straight-line method net of </w:t>
      </w:r>
      <w:r w:rsidR="003B3FD6" w:rsidRPr="00495094">
        <w:rPr>
          <w:rFonts w:ascii="Arial" w:hAnsi="Arial" w:cs="Arial"/>
          <w:sz w:val="22"/>
          <w:szCs w:val="22"/>
        </w:rPr>
        <w:t xml:space="preserve">10 </w:t>
      </w:r>
      <w:r w:rsidRPr="00495094">
        <w:rPr>
          <w:rFonts w:ascii="Arial" w:hAnsi="Arial" w:cs="Arial"/>
          <w:sz w:val="22"/>
          <w:szCs w:val="22"/>
        </w:rPr>
        <w:t>per</w:t>
      </w:r>
      <w:r w:rsidR="003B3FD6" w:rsidRPr="00495094">
        <w:rPr>
          <w:rFonts w:ascii="Arial" w:hAnsi="Arial" w:cs="Arial"/>
          <w:sz w:val="22"/>
          <w:szCs w:val="22"/>
        </w:rPr>
        <w:t xml:space="preserve"> </w:t>
      </w:r>
      <w:r w:rsidRPr="00495094">
        <w:rPr>
          <w:rFonts w:ascii="Arial" w:hAnsi="Arial" w:cs="Arial"/>
          <w:sz w:val="22"/>
          <w:szCs w:val="22"/>
        </w:rPr>
        <w:t>cent residual value of acquisition cost over the estimated useful lives of the related assets as follows:</w:t>
      </w:r>
    </w:p>
    <w:p w14:paraId="13DFA6E1" w14:textId="77777777" w:rsidR="00252789" w:rsidRPr="00495094" w:rsidRDefault="00252789" w:rsidP="006D37E3">
      <w:pPr>
        <w:rPr>
          <w:rFonts w:ascii="Arial" w:hAnsi="Arial" w:cs="Arial"/>
          <w:sz w:val="22"/>
          <w:szCs w:val="22"/>
        </w:rPr>
      </w:pPr>
    </w:p>
    <w:tbl>
      <w:tblPr>
        <w:tblpPr w:leftFromText="180" w:rightFromText="180" w:vertAnchor="text" w:horzAnchor="margin" w:tblpX="-34" w:tblpY="4"/>
        <w:tblW w:w="8782" w:type="dxa"/>
        <w:tblLook w:val="04A0" w:firstRow="1" w:lastRow="0" w:firstColumn="1" w:lastColumn="0" w:noHBand="0" w:noVBand="1"/>
      </w:tblPr>
      <w:tblGrid>
        <w:gridCol w:w="6460"/>
        <w:gridCol w:w="2322"/>
      </w:tblGrid>
      <w:tr w:rsidR="00495094" w:rsidRPr="00495094" w14:paraId="16A9AF22" w14:textId="77777777" w:rsidTr="00E33BFC">
        <w:tc>
          <w:tcPr>
            <w:tcW w:w="6460" w:type="dxa"/>
            <w:tcBorders>
              <w:top w:val="single" w:sz="4" w:space="0" w:color="auto"/>
              <w:bottom w:val="single" w:sz="4" w:space="0" w:color="auto"/>
            </w:tcBorders>
            <w:shd w:val="clear" w:color="auto" w:fill="auto"/>
          </w:tcPr>
          <w:p w14:paraId="11BFA70B" w14:textId="77777777" w:rsidR="003B37ED" w:rsidRPr="00495094" w:rsidRDefault="003B37ED" w:rsidP="00E33BFC">
            <w:pPr>
              <w:rPr>
                <w:rFonts w:ascii="Arial" w:hAnsi="Arial" w:cs="Arial"/>
                <w:bCs/>
                <w:sz w:val="22"/>
                <w:szCs w:val="22"/>
              </w:rPr>
            </w:pPr>
          </w:p>
        </w:tc>
        <w:tc>
          <w:tcPr>
            <w:tcW w:w="2322" w:type="dxa"/>
            <w:tcBorders>
              <w:top w:val="single" w:sz="4" w:space="0" w:color="auto"/>
              <w:bottom w:val="single" w:sz="4" w:space="0" w:color="auto"/>
            </w:tcBorders>
            <w:shd w:val="clear" w:color="auto" w:fill="auto"/>
          </w:tcPr>
          <w:p w14:paraId="00780021" w14:textId="77777777" w:rsidR="003B37ED" w:rsidRPr="00495094" w:rsidRDefault="003B37ED" w:rsidP="00E33BFC">
            <w:pPr>
              <w:jc w:val="center"/>
              <w:rPr>
                <w:rFonts w:ascii="Arial" w:hAnsi="Arial" w:cs="Arial"/>
                <w:bCs/>
                <w:sz w:val="22"/>
                <w:szCs w:val="22"/>
              </w:rPr>
            </w:pPr>
            <w:r w:rsidRPr="00495094">
              <w:rPr>
                <w:rFonts w:ascii="Arial" w:hAnsi="Arial" w:cs="Arial"/>
                <w:bCs/>
                <w:sz w:val="22"/>
                <w:szCs w:val="22"/>
              </w:rPr>
              <w:t>Number of Years</w:t>
            </w:r>
          </w:p>
        </w:tc>
      </w:tr>
      <w:tr w:rsidR="00495094" w:rsidRPr="00495094" w14:paraId="7105153A" w14:textId="77777777" w:rsidTr="00E33BFC">
        <w:tc>
          <w:tcPr>
            <w:tcW w:w="6460" w:type="dxa"/>
            <w:tcBorders>
              <w:top w:val="single" w:sz="4" w:space="0" w:color="auto"/>
            </w:tcBorders>
            <w:shd w:val="clear" w:color="auto" w:fill="auto"/>
          </w:tcPr>
          <w:p w14:paraId="06B06739" w14:textId="77777777" w:rsidR="003B37ED" w:rsidRPr="00495094" w:rsidRDefault="003B37ED" w:rsidP="00E33BFC">
            <w:pPr>
              <w:rPr>
                <w:rFonts w:ascii="Arial" w:hAnsi="Arial" w:cs="Arial"/>
                <w:bCs/>
                <w:sz w:val="22"/>
                <w:szCs w:val="22"/>
              </w:rPr>
            </w:pPr>
            <w:r w:rsidRPr="00495094">
              <w:rPr>
                <w:rFonts w:ascii="Arial" w:hAnsi="Arial" w:cs="Arial"/>
                <w:bCs/>
                <w:sz w:val="22"/>
                <w:szCs w:val="22"/>
              </w:rPr>
              <w:t>Building</w:t>
            </w:r>
          </w:p>
        </w:tc>
        <w:tc>
          <w:tcPr>
            <w:tcW w:w="2322" w:type="dxa"/>
            <w:tcBorders>
              <w:top w:val="single" w:sz="4" w:space="0" w:color="auto"/>
            </w:tcBorders>
            <w:shd w:val="clear" w:color="auto" w:fill="auto"/>
          </w:tcPr>
          <w:p w14:paraId="3874B9B5" w14:textId="0854958F" w:rsidR="003B37ED" w:rsidRPr="00495094" w:rsidRDefault="003B37ED" w:rsidP="00E33BFC">
            <w:pPr>
              <w:jc w:val="center"/>
              <w:rPr>
                <w:rFonts w:ascii="Arial" w:hAnsi="Arial" w:cs="Arial"/>
                <w:sz w:val="22"/>
                <w:szCs w:val="22"/>
              </w:rPr>
            </w:pPr>
            <w:r w:rsidRPr="00495094">
              <w:rPr>
                <w:rFonts w:ascii="Arial" w:hAnsi="Arial" w:cs="Arial"/>
                <w:sz w:val="22"/>
                <w:szCs w:val="22"/>
              </w:rPr>
              <w:t xml:space="preserve">10 </w:t>
            </w:r>
            <w:r w:rsidR="00380153" w:rsidRPr="00495094">
              <w:rPr>
                <w:rFonts w:ascii="Arial" w:hAnsi="Arial" w:cs="Arial"/>
                <w:sz w:val="22"/>
                <w:szCs w:val="22"/>
              </w:rPr>
              <w:t>–</w:t>
            </w:r>
            <w:r w:rsidRPr="00495094">
              <w:rPr>
                <w:rFonts w:ascii="Arial" w:hAnsi="Arial" w:cs="Arial"/>
                <w:sz w:val="22"/>
                <w:szCs w:val="22"/>
              </w:rPr>
              <w:t xml:space="preserve"> 20</w:t>
            </w:r>
          </w:p>
        </w:tc>
      </w:tr>
      <w:tr w:rsidR="00495094" w:rsidRPr="00495094" w14:paraId="39B6CCB2" w14:textId="77777777" w:rsidTr="00E33BFC">
        <w:tc>
          <w:tcPr>
            <w:tcW w:w="6460" w:type="dxa"/>
            <w:shd w:val="clear" w:color="auto" w:fill="auto"/>
          </w:tcPr>
          <w:p w14:paraId="6B0C4AB4" w14:textId="77777777" w:rsidR="003B37ED" w:rsidRPr="00495094" w:rsidRDefault="003B37ED" w:rsidP="00E33BFC">
            <w:pPr>
              <w:rPr>
                <w:rFonts w:ascii="Arial" w:hAnsi="Arial" w:cs="Arial"/>
                <w:bCs/>
                <w:sz w:val="22"/>
                <w:szCs w:val="22"/>
              </w:rPr>
            </w:pPr>
            <w:r w:rsidRPr="00495094">
              <w:rPr>
                <w:rFonts w:ascii="Arial" w:hAnsi="Arial" w:cs="Arial"/>
                <w:bCs/>
                <w:sz w:val="22"/>
                <w:szCs w:val="22"/>
              </w:rPr>
              <w:t>Furniture, fixtures and equipment</w:t>
            </w:r>
          </w:p>
        </w:tc>
        <w:tc>
          <w:tcPr>
            <w:tcW w:w="2322" w:type="dxa"/>
            <w:shd w:val="clear" w:color="auto" w:fill="auto"/>
          </w:tcPr>
          <w:p w14:paraId="519AC650" w14:textId="77777777" w:rsidR="003B37ED" w:rsidRPr="00495094" w:rsidRDefault="003B37ED" w:rsidP="00E33BFC">
            <w:pPr>
              <w:jc w:val="center"/>
              <w:rPr>
                <w:rFonts w:ascii="Arial" w:hAnsi="Arial" w:cs="Arial"/>
                <w:sz w:val="22"/>
                <w:szCs w:val="22"/>
              </w:rPr>
            </w:pPr>
            <w:r w:rsidRPr="00495094">
              <w:rPr>
                <w:rFonts w:ascii="Arial" w:hAnsi="Arial" w:cs="Arial"/>
                <w:sz w:val="22"/>
                <w:szCs w:val="22"/>
              </w:rPr>
              <w:t>5 -10</w:t>
            </w:r>
          </w:p>
        </w:tc>
      </w:tr>
      <w:tr w:rsidR="00495094" w:rsidRPr="00495094" w14:paraId="35F92133" w14:textId="77777777" w:rsidTr="00E33BFC">
        <w:tc>
          <w:tcPr>
            <w:tcW w:w="6460" w:type="dxa"/>
            <w:shd w:val="clear" w:color="auto" w:fill="auto"/>
          </w:tcPr>
          <w:p w14:paraId="34D79624" w14:textId="77777777" w:rsidR="003B37ED" w:rsidRPr="00495094" w:rsidRDefault="003B37ED" w:rsidP="00E33BFC">
            <w:pPr>
              <w:rPr>
                <w:rFonts w:ascii="Arial" w:hAnsi="Arial" w:cs="Arial"/>
                <w:bCs/>
                <w:sz w:val="22"/>
                <w:szCs w:val="22"/>
              </w:rPr>
            </w:pPr>
            <w:r w:rsidRPr="00495094">
              <w:rPr>
                <w:rFonts w:ascii="Arial" w:hAnsi="Arial" w:cs="Arial"/>
                <w:bCs/>
                <w:sz w:val="22"/>
                <w:szCs w:val="22"/>
              </w:rPr>
              <w:t>Leasehold improvements</w:t>
            </w:r>
          </w:p>
        </w:tc>
        <w:tc>
          <w:tcPr>
            <w:tcW w:w="2322" w:type="dxa"/>
            <w:shd w:val="clear" w:color="auto" w:fill="auto"/>
          </w:tcPr>
          <w:p w14:paraId="4DA7B5E0" w14:textId="77777777" w:rsidR="003B37ED" w:rsidRPr="00495094" w:rsidRDefault="003B37ED" w:rsidP="00E33BFC">
            <w:pPr>
              <w:jc w:val="center"/>
              <w:rPr>
                <w:rFonts w:ascii="Arial" w:hAnsi="Arial" w:cs="Arial"/>
                <w:sz w:val="22"/>
                <w:szCs w:val="22"/>
              </w:rPr>
            </w:pPr>
            <w:r w:rsidRPr="00495094">
              <w:rPr>
                <w:rFonts w:ascii="Arial" w:hAnsi="Arial" w:cs="Arial"/>
                <w:sz w:val="22"/>
                <w:szCs w:val="22"/>
              </w:rPr>
              <w:t>5 (maximum)</w:t>
            </w:r>
          </w:p>
        </w:tc>
      </w:tr>
      <w:tr w:rsidR="00495094" w:rsidRPr="00495094" w14:paraId="2F1902DE" w14:textId="77777777" w:rsidTr="00E33BFC">
        <w:tc>
          <w:tcPr>
            <w:tcW w:w="6460" w:type="dxa"/>
            <w:tcBorders>
              <w:bottom w:val="single" w:sz="4" w:space="0" w:color="auto"/>
            </w:tcBorders>
            <w:shd w:val="clear" w:color="auto" w:fill="auto"/>
          </w:tcPr>
          <w:p w14:paraId="317B7EAA" w14:textId="77777777" w:rsidR="003B37ED" w:rsidRPr="00495094" w:rsidRDefault="003B37ED" w:rsidP="00E33BFC">
            <w:pPr>
              <w:rPr>
                <w:rFonts w:ascii="Arial" w:hAnsi="Arial" w:cs="Arial"/>
                <w:bCs/>
                <w:sz w:val="22"/>
                <w:szCs w:val="22"/>
              </w:rPr>
            </w:pPr>
            <w:r w:rsidRPr="00495094">
              <w:rPr>
                <w:rFonts w:ascii="Arial" w:hAnsi="Arial" w:cs="Arial"/>
                <w:bCs/>
                <w:sz w:val="22"/>
                <w:szCs w:val="22"/>
              </w:rPr>
              <w:t>Transportation equipment</w:t>
            </w:r>
          </w:p>
        </w:tc>
        <w:tc>
          <w:tcPr>
            <w:tcW w:w="2322" w:type="dxa"/>
            <w:tcBorders>
              <w:bottom w:val="single" w:sz="4" w:space="0" w:color="auto"/>
            </w:tcBorders>
            <w:shd w:val="clear" w:color="auto" w:fill="auto"/>
          </w:tcPr>
          <w:p w14:paraId="69B71121" w14:textId="77777777" w:rsidR="003B37ED" w:rsidRPr="00495094" w:rsidRDefault="003B37ED" w:rsidP="00E33BFC">
            <w:pPr>
              <w:jc w:val="center"/>
              <w:rPr>
                <w:rFonts w:ascii="Arial" w:hAnsi="Arial" w:cs="Arial"/>
                <w:sz w:val="22"/>
                <w:szCs w:val="22"/>
              </w:rPr>
            </w:pPr>
            <w:r w:rsidRPr="00495094">
              <w:rPr>
                <w:rFonts w:ascii="Arial" w:hAnsi="Arial" w:cs="Arial"/>
                <w:sz w:val="22"/>
                <w:szCs w:val="22"/>
              </w:rPr>
              <w:t>5</w:t>
            </w:r>
          </w:p>
        </w:tc>
      </w:tr>
    </w:tbl>
    <w:p w14:paraId="6D8FDD5B" w14:textId="5533863C" w:rsidR="003B37ED" w:rsidRPr="00495094" w:rsidRDefault="003B37ED" w:rsidP="00664BB1">
      <w:pPr>
        <w:rPr>
          <w:rFonts w:ascii="Arial" w:hAnsi="Arial" w:cs="Arial"/>
          <w:sz w:val="22"/>
          <w:szCs w:val="22"/>
        </w:rPr>
      </w:pPr>
    </w:p>
    <w:p w14:paraId="432BDCAD" w14:textId="77777777" w:rsidR="006D37E3" w:rsidRPr="00495094" w:rsidRDefault="006D37E3" w:rsidP="00664BB1">
      <w:pPr>
        <w:rPr>
          <w:rFonts w:ascii="Arial" w:hAnsi="Arial" w:cs="Arial"/>
          <w:sz w:val="22"/>
          <w:szCs w:val="22"/>
        </w:rPr>
      </w:pPr>
      <w:r w:rsidRPr="00495094">
        <w:rPr>
          <w:rFonts w:ascii="Arial" w:hAnsi="Arial" w:cs="Arial"/>
          <w:sz w:val="22"/>
          <w:szCs w:val="22"/>
        </w:rPr>
        <w:t xml:space="preserve">Impairment is only recognized when there is substantial evidence of the decline in the value of the </w:t>
      </w:r>
      <w:r w:rsidR="003B37ED" w:rsidRPr="00495094">
        <w:rPr>
          <w:rFonts w:ascii="Arial" w:hAnsi="Arial" w:cs="Arial"/>
          <w:sz w:val="22"/>
          <w:szCs w:val="22"/>
        </w:rPr>
        <w:t>property</w:t>
      </w:r>
      <w:r w:rsidRPr="00495094">
        <w:rPr>
          <w:rFonts w:ascii="Arial" w:hAnsi="Arial" w:cs="Arial"/>
          <w:sz w:val="22"/>
          <w:szCs w:val="22"/>
        </w:rPr>
        <w:t xml:space="preserve"> and equipment.</w:t>
      </w:r>
    </w:p>
    <w:p w14:paraId="04BDB2FE" w14:textId="77777777" w:rsidR="006D37E3" w:rsidRPr="00495094" w:rsidRDefault="006D37E3" w:rsidP="006D37E3">
      <w:pPr>
        <w:rPr>
          <w:rFonts w:ascii="Arial" w:hAnsi="Arial" w:cs="Arial"/>
          <w:sz w:val="22"/>
          <w:szCs w:val="22"/>
        </w:rPr>
      </w:pPr>
    </w:p>
    <w:p w14:paraId="7C885B17" w14:textId="2FFA5409" w:rsidR="006D37E3" w:rsidRPr="00495094" w:rsidRDefault="006D37E3" w:rsidP="00664BB1">
      <w:pPr>
        <w:rPr>
          <w:rFonts w:ascii="Arial" w:hAnsi="Arial" w:cs="Arial"/>
          <w:sz w:val="22"/>
          <w:szCs w:val="22"/>
        </w:rPr>
      </w:pPr>
      <w:r w:rsidRPr="00495094">
        <w:rPr>
          <w:rFonts w:ascii="Arial" w:hAnsi="Arial" w:cs="Arial"/>
          <w:sz w:val="22"/>
          <w:szCs w:val="22"/>
        </w:rPr>
        <w:t xml:space="preserve">The cost of leasehold improvements is amortized over the term of the lease or the estimated useful life of the improvements not exceeding </w:t>
      </w:r>
      <w:r w:rsidR="00380153" w:rsidRPr="00495094">
        <w:rPr>
          <w:rFonts w:ascii="Arial" w:hAnsi="Arial" w:cs="Arial"/>
          <w:sz w:val="22"/>
          <w:szCs w:val="22"/>
        </w:rPr>
        <w:t>five</w:t>
      </w:r>
      <w:r w:rsidRPr="00495094">
        <w:rPr>
          <w:rFonts w:ascii="Arial" w:hAnsi="Arial" w:cs="Arial"/>
          <w:sz w:val="22"/>
          <w:szCs w:val="22"/>
        </w:rPr>
        <w:t xml:space="preserve"> years whichever is shorter.  Minor expenditures for replacement, maintenance and repairs are expensed as incurred.  Major renovations and improvements that will extend the life of the asset are capitalized.</w:t>
      </w:r>
    </w:p>
    <w:p w14:paraId="161B70A0" w14:textId="77777777" w:rsidR="006D37E3" w:rsidRPr="00495094" w:rsidRDefault="006D37E3" w:rsidP="006D37E3">
      <w:pPr>
        <w:rPr>
          <w:rFonts w:ascii="Arial" w:hAnsi="Arial" w:cs="Arial"/>
          <w:sz w:val="22"/>
          <w:szCs w:val="22"/>
        </w:rPr>
      </w:pPr>
    </w:p>
    <w:p w14:paraId="35BC79ED" w14:textId="77777777" w:rsidR="006D37E3" w:rsidRPr="00495094" w:rsidRDefault="006D37E3" w:rsidP="00664BB1">
      <w:pPr>
        <w:rPr>
          <w:rFonts w:ascii="Arial" w:hAnsi="Arial" w:cs="Arial"/>
          <w:sz w:val="22"/>
          <w:szCs w:val="22"/>
        </w:rPr>
      </w:pPr>
      <w:r w:rsidRPr="00495094">
        <w:rPr>
          <w:rFonts w:ascii="Arial" w:hAnsi="Arial" w:cs="Arial"/>
          <w:sz w:val="22"/>
          <w:szCs w:val="22"/>
        </w:rPr>
        <w:t xml:space="preserve">Properties that are no longer needed or uneconomical to maintain are disposed of in accordance with the existing guidelines on disposal. The cost and the related accumulated depreciation and amortization of the disposed assets are derecognized </w:t>
      </w:r>
      <w:r w:rsidR="00706953" w:rsidRPr="00495094">
        <w:rPr>
          <w:rFonts w:ascii="Arial" w:hAnsi="Arial" w:cs="Arial"/>
          <w:sz w:val="22"/>
          <w:szCs w:val="22"/>
        </w:rPr>
        <w:t>in</w:t>
      </w:r>
      <w:r w:rsidRPr="00495094">
        <w:rPr>
          <w:rFonts w:ascii="Arial" w:hAnsi="Arial" w:cs="Arial"/>
          <w:sz w:val="22"/>
          <w:szCs w:val="22"/>
        </w:rPr>
        <w:t xml:space="preserve"> the books and any resulting gain or loss is credited or charged to current operations.</w:t>
      </w:r>
    </w:p>
    <w:p w14:paraId="3B27245D" w14:textId="77777777" w:rsidR="005A7E00" w:rsidRPr="00495094" w:rsidRDefault="005A7E00" w:rsidP="006D37E3">
      <w:pPr>
        <w:spacing w:line="259" w:lineRule="auto"/>
        <w:rPr>
          <w:rFonts w:ascii="Arial" w:eastAsia="Calibri" w:hAnsi="Arial" w:cs="Arial"/>
          <w:sz w:val="22"/>
          <w:szCs w:val="22"/>
          <w:lang w:val="en-PH"/>
        </w:rPr>
      </w:pPr>
    </w:p>
    <w:p w14:paraId="27EDF746" w14:textId="77777777" w:rsidR="006D37E3" w:rsidRPr="00495094" w:rsidRDefault="006D37E3" w:rsidP="007F4EEC">
      <w:pPr>
        <w:numPr>
          <w:ilvl w:val="1"/>
          <w:numId w:val="12"/>
        </w:numPr>
        <w:ind w:left="720"/>
        <w:rPr>
          <w:rFonts w:ascii="Arial" w:hAnsi="Arial" w:cs="Arial"/>
          <w:sz w:val="22"/>
          <w:szCs w:val="22"/>
          <w:u w:val="single"/>
        </w:rPr>
      </w:pPr>
      <w:r w:rsidRPr="00495094">
        <w:rPr>
          <w:rFonts w:ascii="Arial" w:hAnsi="Arial" w:cs="Arial"/>
          <w:sz w:val="22"/>
          <w:szCs w:val="22"/>
          <w:u w:val="single"/>
        </w:rPr>
        <w:t>Intangible Assets</w:t>
      </w:r>
    </w:p>
    <w:p w14:paraId="6F33EF80" w14:textId="77777777" w:rsidR="00182813" w:rsidRPr="00495094" w:rsidRDefault="00182813" w:rsidP="00182813">
      <w:pPr>
        <w:ind w:left="720"/>
        <w:rPr>
          <w:rFonts w:ascii="Arial" w:hAnsi="Arial" w:cs="Arial"/>
          <w:sz w:val="22"/>
          <w:szCs w:val="22"/>
          <w:u w:val="single"/>
        </w:rPr>
      </w:pPr>
    </w:p>
    <w:p w14:paraId="14A2929F" w14:textId="181F4324" w:rsidR="00126458" w:rsidRPr="00495094" w:rsidRDefault="006D37E3" w:rsidP="000D4ADC">
      <w:pPr>
        <w:rPr>
          <w:rFonts w:ascii="Arial" w:hAnsi="Arial" w:cs="Arial"/>
          <w:sz w:val="22"/>
          <w:szCs w:val="22"/>
          <w:lang w:val="en-PH"/>
        </w:rPr>
      </w:pPr>
      <w:r w:rsidRPr="00495094">
        <w:rPr>
          <w:rFonts w:ascii="Arial" w:hAnsi="Arial" w:cs="Arial"/>
          <w:sz w:val="22"/>
          <w:szCs w:val="22"/>
        </w:rPr>
        <w:t xml:space="preserve">Intangible assets represent costs of software licenses and cost incurred directly in the development and maintenance.  These are measured at cost and amortized based on a straight-line method with an expected maximum useful life of 10 years.  Costs associated with developing or maintaining computer software programs are recognized as an expense as incurred.  Cost that are directly associated with the production of identifiable and unique software products controlled by the bank and that will probably generate economic benefits exceeding costs, beyond one year, are recognized as intangible assets. </w:t>
      </w:r>
      <w:r w:rsidR="000D4ADC" w:rsidRPr="00495094">
        <w:rPr>
          <w:rFonts w:ascii="Arial" w:hAnsi="Arial" w:cs="Arial"/>
          <w:sz w:val="22"/>
          <w:szCs w:val="22"/>
          <w:lang w:val="en-PH"/>
        </w:rPr>
        <w:t xml:space="preserve">Direct costs include software licenses, software </w:t>
      </w:r>
      <w:r w:rsidR="00F213A1" w:rsidRPr="00495094">
        <w:rPr>
          <w:rFonts w:ascii="Arial" w:hAnsi="Arial" w:cs="Arial"/>
          <w:sz w:val="22"/>
          <w:szCs w:val="22"/>
          <w:lang w:val="en-PH"/>
        </w:rPr>
        <w:t>d</w:t>
      </w:r>
      <w:r w:rsidR="000D4ADC" w:rsidRPr="00495094">
        <w:rPr>
          <w:rFonts w:ascii="Arial" w:hAnsi="Arial" w:cs="Arial"/>
          <w:sz w:val="22"/>
          <w:szCs w:val="22"/>
          <w:lang w:val="en-PH"/>
        </w:rPr>
        <w:t>development, employee costs and the related overheads.</w:t>
      </w:r>
      <w:r w:rsidR="009F6297" w:rsidRPr="00495094">
        <w:rPr>
          <w:rFonts w:ascii="Arial" w:hAnsi="Arial" w:cs="Arial"/>
          <w:sz w:val="22"/>
          <w:szCs w:val="22"/>
          <w:lang w:val="en-PH"/>
        </w:rPr>
        <w:t xml:space="preserve">  </w:t>
      </w:r>
    </w:p>
    <w:p w14:paraId="6808556D" w14:textId="77777777" w:rsidR="009F6297" w:rsidRPr="00495094" w:rsidRDefault="009F6297" w:rsidP="000D4ADC">
      <w:pPr>
        <w:rPr>
          <w:rFonts w:ascii="Arial" w:hAnsi="Arial" w:cs="Arial"/>
          <w:sz w:val="22"/>
          <w:szCs w:val="22"/>
          <w:lang w:val="en-PH"/>
        </w:rPr>
      </w:pPr>
    </w:p>
    <w:p w14:paraId="43FA0BC7" w14:textId="0978D3F8" w:rsidR="000D4ADC" w:rsidRPr="00495094" w:rsidRDefault="00126458" w:rsidP="000D4ADC">
      <w:pPr>
        <w:rPr>
          <w:rFonts w:ascii="Arial" w:hAnsi="Arial" w:cs="Arial"/>
          <w:sz w:val="22"/>
          <w:szCs w:val="22"/>
          <w:lang w:val="en-PH"/>
        </w:rPr>
      </w:pPr>
      <w:r w:rsidRPr="00495094">
        <w:rPr>
          <w:rFonts w:ascii="Arial" w:hAnsi="Arial" w:cs="Arial"/>
          <w:sz w:val="22"/>
          <w:szCs w:val="22"/>
          <w:lang w:val="en-PH"/>
        </w:rPr>
        <w:t>This account includes digital license fee</w:t>
      </w:r>
      <w:r w:rsidR="00693159" w:rsidRPr="00495094">
        <w:rPr>
          <w:rFonts w:ascii="Arial" w:hAnsi="Arial" w:cs="Arial"/>
          <w:sz w:val="22"/>
          <w:szCs w:val="22"/>
          <w:lang w:val="en-PH"/>
        </w:rPr>
        <w:t>s</w:t>
      </w:r>
      <w:r w:rsidRPr="00495094">
        <w:rPr>
          <w:rFonts w:ascii="Arial" w:hAnsi="Arial" w:cs="Arial"/>
          <w:sz w:val="22"/>
          <w:szCs w:val="22"/>
          <w:lang w:val="en-PH"/>
        </w:rPr>
        <w:t xml:space="preserve"> to be amortized within the remaining life of the corporation.</w:t>
      </w:r>
      <w:r w:rsidR="009F6297" w:rsidRPr="00495094">
        <w:rPr>
          <w:rFonts w:ascii="Arial" w:hAnsi="Arial" w:cs="Arial"/>
          <w:sz w:val="22"/>
          <w:szCs w:val="22"/>
          <w:lang w:val="en-PH"/>
        </w:rPr>
        <w:t xml:space="preserve"> </w:t>
      </w:r>
    </w:p>
    <w:p w14:paraId="320EE8EF" w14:textId="77777777" w:rsidR="006D37E3" w:rsidRPr="00495094" w:rsidRDefault="006D37E3" w:rsidP="006D37E3">
      <w:pPr>
        <w:ind w:left="1500"/>
        <w:rPr>
          <w:rFonts w:ascii="Arial" w:hAnsi="Arial" w:cs="Arial"/>
          <w:sz w:val="22"/>
          <w:szCs w:val="22"/>
        </w:rPr>
      </w:pPr>
    </w:p>
    <w:p w14:paraId="40754DBF" w14:textId="77777777" w:rsidR="005E3D92" w:rsidRPr="00495094" w:rsidRDefault="005E3D92" w:rsidP="007F4EEC">
      <w:pPr>
        <w:numPr>
          <w:ilvl w:val="1"/>
          <w:numId w:val="12"/>
        </w:numPr>
        <w:ind w:left="720"/>
        <w:rPr>
          <w:rFonts w:ascii="Arial" w:hAnsi="Arial" w:cs="Arial"/>
          <w:sz w:val="22"/>
          <w:szCs w:val="22"/>
          <w:u w:val="single"/>
        </w:rPr>
      </w:pPr>
      <w:r w:rsidRPr="00495094">
        <w:rPr>
          <w:rFonts w:ascii="Arial" w:hAnsi="Arial" w:cs="Arial"/>
          <w:sz w:val="22"/>
          <w:szCs w:val="22"/>
          <w:u w:val="single"/>
        </w:rPr>
        <w:t>Leases</w:t>
      </w:r>
    </w:p>
    <w:p w14:paraId="6F346616" w14:textId="77777777" w:rsidR="005E3D92" w:rsidRPr="00495094" w:rsidRDefault="005E3D92" w:rsidP="005E3D92">
      <w:pPr>
        <w:rPr>
          <w:rFonts w:ascii="Arial" w:hAnsi="Arial" w:cs="Arial"/>
          <w:sz w:val="22"/>
          <w:szCs w:val="22"/>
          <w:u w:val="single"/>
        </w:rPr>
      </w:pPr>
    </w:p>
    <w:p w14:paraId="483D41B1" w14:textId="0F34EC57" w:rsidR="005E3D92" w:rsidRPr="00495094" w:rsidRDefault="005E3D92" w:rsidP="005E3D92">
      <w:pPr>
        <w:rPr>
          <w:rFonts w:ascii="Arial" w:hAnsi="Arial" w:cs="Arial"/>
          <w:sz w:val="22"/>
          <w:szCs w:val="22"/>
        </w:rPr>
      </w:pPr>
      <w:r w:rsidRPr="00495094">
        <w:rPr>
          <w:rFonts w:ascii="Arial" w:hAnsi="Arial" w:cs="Arial"/>
          <w:sz w:val="22"/>
          <w:szCs w:val="22"/>
        </w:rPr>
        <w:t>The leases entered into by the bank are primarily operating leases.  The payments made under operating leases are recognized as an expense on a straight-line basis over the period of the lease.</w:t>
      </w:r>
    </w:p>
    <w:p w14:paraId="710E0C1F" w14:textId="77777777" w:rsidR="005E3D92" w:rsidRPr="00495094" w:rsidRDefault="005E3D92" w:rsidP="005E3D92">
      <w:pPr>
        <w:rPr>
          <w:rFonts w:ascii="Arial" w:hAnsi="Arial" w:cs="Arial"/>
          <w:sz w:val="22"/>
          <w:szCs w:val="22"/>
        </w:rPr>
      </w:pPr>
    </w:p>
    <w:p w14:paraId="5FB2F932" w14:textId="39BBB618" w:rsidR="00442895" w:rsidRPr="00495094" w:rsidRDefault="00442895" w:rsidP="00442895">
      <w:pPr>
        <w:pStyle w:val="NormalWeb"/>
        <w:spacing w:before="0" w:beforeAutospacing="0" w:after="0" w:afterAutospacing="0"/>
        <w:jc w:val="both"/>
        <w:rPr>
          <w:rFonts w:ascii="Arial" w:hAnsi="Arial" w:cs="Arial"/>
          <w:sz w:val="22"/>
          <w:szCs w:val="22"/>
        </w:rPr>
      </w:pPr>
      <w:r w:rsidRPr="00495094">
        <w:rPr>
          <w:rFonts w:ascii="Arial" w:hAnsi="Arial" w:cs="Arial"/>
          <w:sz w:val="22"/>
          <w:szCs w:val="22"/>
        </w:rPr>
        <w:t>In 20</w:t>
      </w:r>
      <w:r w:rsidR="00D43988" w:rsidRPr="00495094">
        <w:rPr>
          <w:rFonts w:ascii="Arial" w:hAnsi="Arial" w:cs="Arial"/>
          <w:sz w:val="22"/>
          <w:szCs w:val="22"/>
        </w:rPr>
        <w:t>2</w:t>
      </w:r>
      <w:r w:rsidR="00D02B23" w:rsidRPr="00495094">
        <w:rPr>
          <w:rFonts w:ascii="Arial" w:hAnsi="Arial" w:cs="Arial"/>
          <w:sz w:val="22"/>
          <w:szCs w:val="22"/>
        </w:rPr>
        <w:t>2</w:t>
      </w:r>
      <w:r w:rsidR="000D4ADC" w:rsidRPr="00495094">
        <w:rPr>
          <w:rFonts w:ascii="Arial" w:hAnsi="Arial" w:cs="Arial"/>
          <w:sz w:val="22"/>
          <w:szCs w:val="22"/>
        </w:rPr>
        <w:t xml:space="preserve"> </w:t>
      </w:r>
      <w:r w:rsidRPr="00495094">
        <w:rPr>
          <w:rFonts w:ascii="Arial" w:hAnsi="Arial" w:cs="Arial"/>
          <w:sz w:val="22"/>
          <w:szCs w:val="22"/>
        </w:rPr>
        <w:t>and 20</w:t>
      </w:r>
      <w:r w:rsidR="00D43988" w:rsidRPr="00495094">
        <w:rPr>
          <w:rFonts w:ascii="Arial" w:hAnsi="Arial" w:cs="Arial"/>
          <w:sz w:val="22"/>
          <w:szCs w:val="22"/>
        </w:rPr>
        <w:t>2</w:t>
      </w:r>
      <w:r w:rsidR="00D02B23" w:rsidRPr="00495094">
        <w:rPr>
          <w:rFonts w:ascii="Arial" w:hAnsi="Arial" w:cs="Arial"/>
          <w:sz w:val="22"/>
          <w:szCs w:val="22"/>
        </w:rPr>
        <w:t>1</w:t>
      </w:r>
      <w:r w:rsidRPr="00495094">
        <w:rPr>
          <w:rFonts w:ascii="Arial" w:hAnsi="Arial" w:cs="Arial"/>
          <w:sz w:val="22"/>
          <w:szCs w:val="22"/>
        </w:rPr>
        <w:t xml:space="preserve">, rent expenses were included in the statement of comprehensive income, amounting to </w:t>
      </w:r>
      <w:r w:rsidR="00D43988" w:rsidRPr="00495094">
        <w:rPr>
          <w:rFonts w:ascii="Arial" w:hAnsi="Arial" w:cs="Arial"/>
          <w:sz w:val="22"/>
          <w:szCs w:val="22"/>
        </w:rPr>
        <w:t>P</w:t>
      </w:r>
      <w:r w:rsidR="0023334D" w:rsidRPr="00495094">
        <w:rPr>
          <w:rFonts w:ascii="Arial" w:hAnsi="Arial" w:cs="Arial"/>
          <w:sz w:val="22"/>
          <w:szCs w:val="22"/>
        </w:rPr>
        <w:t>1</w:t>
      </w:r>
      <w:r w:rsidR="00D43988" w:rsidRPr="00495094">
        <w:rPr>
          <w:rFonts w:ascii="Arial" w:hAnsi="Arial" w:cs="Arial"/>
          <w:sz w:val="22"/>
          <w:szCs w:val="22"/>
        </w:rPr>
        <w:t>.8</w:t>
      </w:r>
      <w:r w:rsidR="0023334D" w:rsidRPr="00495094">
        <w:rPr>
          <w:rFonts w:ascii="Arial" w:hAnsi="Arial" w:cs="Arial"/>
          <w:sz w:val="22"/>
          <w:szCs w:val="22"/>
        </w:rPr>
        <w:t>9</w:t>
      </w:r>
      <w:r w:rsidR="00D43988" w:rsidRPr="00495094">
        <w:rPr>
          <w:rFonts w:ascii="Arial" w:hAnsi="Arial" w:cs="Arial"/>
          <w:sz w:val="22"/>
          <w:szCs w:val="22"/>
        </w:rPr>
        <w:t xml:space="preserve"> million and </w:t>
      </w:r>
      <w:r w:rsidRPr="00495094">
        <w:rPr>
          <w:rFonts w:ascii="Arial" w:hAnsi="Arial" w:cs="Arial"/>
          <w:sz w:val="22"/>
          <w:szCs w:val="22"/>
        </w:rPr>
        <w:t>P</w:t>
      </w:r>
      <w:r w:rsidR="0023334D" w:rsidRPr="00495094">
        <w:rPr>
          <w:rFonts w:ascii="Arial" w:hAnsi="Arial" w:cs="Arial"/>
          <w:sz w:val="22"/>
          <w:szCs w:val="22"/>
        </w:rPr>
        <w:t>2</w:t>
      </w:r>
      <w:r w:rsidR="000D4ADC" w:rsidRPr="00495094">
        <w:rPr>
          <w:rFonts w:ascii="Arial" w:hAnsi="Arial" w:cs="Arial"/>
          <w:sz w:val="22"/>
          <w:szCs w:val="22"/>
        </w:rPr>
        <w:t>.</w:t>
      </w:r>
      <w:r w:rsidR="0023334D" w:rsidRPr="00495094">
        <w:rPr>
          <w:rFonts w:ascii="Arial" w:hAnsi="Arial" w:cs="Arial"/>
          <w:sz w:val="22"/>
          <w:szCs w:val="22"/>
        </w:rPr>
        <w:t>08</w:t>
      </w:r>
      <w:r w:rsidRPr="00495094">
        <w:rPr>
          <w:rFonts w:ascii="Arial" w:hAnsi="Arial" w:cs="Arial"/>
          <w:sz w:val="22"/>
          <w:szCs w:val="22"/>
        </w:rPr>
        <w:t xml:space="preserve"> million, respectively. </w:t>
      </w:r>
    </w:p>
    <w:p w14:paraId="2CC7AA08" w14:textId="77777777" w:rsidR="00031F0C" w:rsidRPr="00495094" w:rsidRDefault="00031F0C" w:rsidP="00442895">
      <w:pPr>
        <w:pStyle w:val="NormalWeb"/>
        <w:spacing w:before="0" w:beforeAutospacing="0" w:after="0" w:afterAutospacing="0"/>
        <w:jc w:val="both"/>
        <w:rPr>
          <w:rFonts w:ascii="Arial" w:hAnsi="Arial" w:cs="Arial"/>
          <w:sz w:val="22"/>
          <w:szCs w:val="22"/>
        </w:rPr>
      </w:pPr>
    </w:p>
    <w:p w14:paraId="3359BC70" w14:textId="7FFA6D41" w:rsidR="00031F0C" w:rsidRPr="00495094" w:rsidRDefault="00031F0C" w:rsidP="00031F0C">
      <w:pPr>
        <w:rPr>
          <w:rFonts w:ascii="Arial" w:hAnsi="Arial" w:cs="Arial"/>
          <w:sz w:val="22"/>
          <w:szCs w:val="22"/>
        </w:rPr>
      </w:pPr>
      <w:r w:rsidRPr="00495094">
        <w:rPr>
          <w:rFonts w:ascii="Arial" w:hAnsi="Arial" w:cs="Arial"/>
          <w:sz w:val="22"/>
          <w:szCs w:val="22"/>
        </w:rPr>
        <w:t>When an operating lease is terminated before the lease period has expired, any payment required to be made to the lessor by way of penalty is recognized as an expense in the period in which termination takes place.</w:t>
      </w:r>
    </w:p>
    <w:p w14:paraId="5E697D85" w14:textId="25557401" w:rsidR="00040E6C" w:rsidRPr="00495094" w:rsidRDefault="00252789" w:rsidP="00442895">
      <w:pPr>
        <w:pStyle w:val="NormalWeb"/>
        <w:spacing w:before="0" w:beforeAutospacing="0" w:after="0" w:afterAutospacing="0"/>
        <w:ind w:left="993"/>
        <w:rPr>
          <w:rFonts w:ascii="Arial" w:hAnsi="Arial" w:cs="Arial"/>
          <w:sz w:val="22"/>
          <w:szCs w:val="22"/>
        </w:rPr>
      </w:pPr>
      <w:r w:rsidRPr="00495094">
        <w:rPr>
          <w:rFonts w:ascii="Arial" w:hAnsi="Arial" w:cs="Arial"/>
          <w:sz w:val="22"/>
          <w:szCs w:val="22"/>
        </w:rPr>
        <w:br/>
      </w:r>
    </w:p>
    <w:p w14:paraId="6187B599" w14:textId="77777777" w:rsidR="006D37E3" w:rsidRPr="00495094" w:rsidRDefault="006D37E3" w:rsidP="007F4EEC">
      <w:pPr>
        <w:numPr>
          <w:ilvl w:val="1"/>
          <w:numId w:val="12"/>
        </w:numPr>
        <w:ind w:left="720"/>
        <w:rPr>
          <w:rFonts w:ascii="Arial" w:hAnsi="Arial" w:cs="Arial"/>
          <w:sz w:val="22"/>
          <w:szCs w:val="22"/>
          <w:u w:val="single"/>
        </w:rPr>
      </w:pPr>
      <w:r w:rsidRPr="00495094">
        <w:rPr>
          <w:rFonts w:ascii="Arial" w:hAnsi="Arial" w:cs="Arial"/>
          <w:sz w:val="22"/>
          <w:szCs w:val="22"/>
          <w:u w:val="single"/>
        </w:rPr>
        <w:lastRenderedPageBreak/>
        <w:t>Recognition of Income and Accounting for Expenses</w:t>
      </w:r>
    </w:p>
    <w:p w14:paraId="2E4E8AAC" w14:textId="77777777" w:rsidR="00664BB1" w:rsidRPr="00495094" w:rsidRDefault="00664BB1" w:rsidP="00982690">
      <w:pPr>
        <w:rPr>
          <w:rFonts w:ascii="Arial" w:hAnsi="Arial" w:cs="Arial"/>
          <w:sz w:val="22"/>
          <w:szCs w:val="22"/>
          <w:u w:val="single"/>
        </w:rPr>
      </w:pPr>
    </w:p>
    <w:p w14:paraId="162AA508" w14:textId="77777777" w:rsidR="006D37E3" w:rsidRPr="00495094" w:rsidRDefault="006D37E3" w:rsidP="006D37E3">
      <w:pPr>
        <w:rPr>
          <w:rFonts w:ascii="Arial" w:hAnsi="Arial" w:cs="Arial"/>
          <w:sz w:val="22"/>
          <w:szCs w:val="22"/>
        </w:rPr>
      </w:pPr>
      <w:r w:rsidRPr="00495094">
        <w:rPr>
          <w:rFonts w:ascii="Arial" w:hAnsi="Arial" w:cs="Arial"/>
          <w:sz w:val="22"/>
          <w:szCs w:val="22"/>
        </w:rPr>
        <w:t>Interest, other income and expenses are recognized on accrual basis, except for those loan accounts, which are adversely classified consistent with the guidelines of the BSP.</w:t>
      </w:r>
    </w:p>
    <w:p w14:paraId="7D09CE63" w14:textId="77777777" w:rsidR="00AD5A52" w:rsidRPr="00495094" w:rsidRDefault="00AD5A52" w:rsidP="006D37E3">
      <w:pPr>
        <w:rPr>
          <w:rFonts w:ascii="Arial" w:hAnsi="Arial" w:cs="Arial"/>
          <w:sz w:val="22"/>
          <w:szCs w:val="22"/>
        </w:rPr>
      </w:pPr>
    </w:p>
    <w:p w14:paraId="4BDB1E82" w14:textId="77777777" w:rsidR="00EF7689" w:rsidRPr="00495094" w:rsidRDefault="00EF7689" w:rsidP="006D37E3">
      <w:pPr>
        <w:rPr>
          <w:rFonts w:ascii="Arial" w:hAnsi="Arial" w:cs="Arial"/>
          <w:sz w:val="22"/>
          <w:szCs w:val="22"/>
        </w:rPr>
      </w:pPr>
    </w:p>
    <w:p w14:paraId="31AE6017" w14:textId="77777777" w:rsidR="006D37E3" w:rsidRPr="00495094" w:rsidRDefault="005E3D92" w:rsidP="007F4EEC">
      <w:pPr>
        <w:numPr>
          <w:ilvl w:val="0"/>
          <w:numId w:val="12"/>
        </w:numPr>
        <w:ind w:left="720"/>
        <w:rPr>
          <w:rFonts w:ascii="Arial" w:hAnsi="Arial" w:cs="Arial"/>
          <w:b/>
          <w:bCs/>
          <w:sz w:val="22"/>
          <w:szCs w:val="22"/>
        </w:rPr>
      </w:pPr>
      <w:r w:rsidRPr="00495094">
        <w:rPr>
          <w:rFonts w:ascii="Arial" w:hAnsi="Arial" w:cs="Arial"/>
          <w:b/>
          <w:bCs/>
          <w:sz w:val="22"/>
          <w:szCs w:val="22"/>
        </w:rPr>
        <w:t>Significant Accounting Judgments and Estimates</w:t>
      </w:r>
    </w:p>
    <w:p w14:paraId="09A92801" w14:textId="77FD5D2B" w:rsidR="006D37E3" w:rsidRPr="00495094" w:rsidRDefault="006D37E3" w:rsidP="00351A73">
      <w:pPr>
        <w:pStyle w:val="Footer"/>
        <w:tabs>
          <w:tab w:val="clear" w:pos="4320"/>
          <w:tab w:val="clear" w:pos="8640"/>
          <w:tab w:val="left" w:pos="1332"/>
        </w:tabs>
        <w:rPr>
          <w:rFonts w:ascii="Arial" w:hAnsi="Arial" w:cs="Arial"/>
          <w:sz w:val="22"/>
          <w:szCs w:val="22"/>
        </w:rPr>
      </w:pPr>
      <w:r w:rsidRPr="00495094">
        <w:rPr>
          <w:rFonts w:ascii="Arial" w:hAnsi="Arial" w:cs="Arial"/>
          <w:sz w:val="22"/>
          <w:szCs w:val="22"/>
        </w:rPr>
        <w:t xml:space="preserve">        </w:t>
      </w:r>
      <w:r w:rsidR="00351A73" w:rsidRPr="00495094">
        <w:rPr>
          <w:rFonts w:ascii="Arial" w:hAnsi="Arial" w:cs="Arial"/>
          <w:sz w:val="22"/>
          <w:szCs w:val="22"/>
        </w:rPr>
        <w:tab/>
      </w:r>
    </w:p>
    <w:p w14:paraId="39705314" w14:textId="77777777" w:rsidR="006D37E3" w:rsidRPr="00495094" w:rsidRDefault="006D37E3" w:rsidP="00664BB1">
      <w:pPr>
        <w:rPr>
          <w:rFonts w:ascii="Arial" w:hAnsi="Arial" w:cs="Arial"/>
          <w:sz w:val="22"/>
          <w:szCs w:val="22"/>
        </w:rPr>
      </w:pPr>
      <w:r w:rsidRPr="00495094">
        <w:rPr>
          <w:rFonts w:ascii="Arial" w:hAnsi="Arial" w:cs="Arial"/>
          <w:sz w:val="22"/>
          <w:szCs w:val="22"/>
        </w:rPr>
        <w:t>The following are the critical judgments and key assumptions that have significant influence in the carrying amounts of assets and liabilities:</w:t>
      </w:r>
    </w:p>
    <w:p w14:paraId="25300042" w14:textId="77777777" w:rsidR="006D37E3" w:rsidRPr="00495094" w:rsidRDefault="006D37E3" w:rsidP="006D37E3">
      <w:pPr>
        <w:rPr>
          <w:rFonts w:ascii="Arial" w:hAnsi="Arial" w:cs="Arial"/>
          <w:sz w:val="22"/>
          <w:szCs w:val="22"/>
        </w:rPr>
      </w:pPr>
      <w:r w:rsidRPr="00495094">
        <w:rPr>
          <w:rFonts w:ascii="Arial" w:hAnsi="Arial" w:cs="Arial"/>
          <w:sz w:val="22"/>
          <w:szCs w:val="22"/>
        </w:rPr>
        <w:tab/>
      </w:r>
    </w:p>
    <w:p w14:paraId="52A02308" w14:textId="4A574585" w:rsidR="00442895" w:rsidRPr="00495094" w:rsidRDefault="00442895" w:rsidP="007F4EEC">
      <w:pPr>
        <w:pStyle w:val="ListParagraph"/>
        <w:numPr>
          <w:ilvl w:val="1"/>
          <w:numId w:val="8"/>
        </w:numPr>
        <w:ind w:left="709" w:hanging="709"/>
        <w:rPr>
          <w:u w:val="single"/>
        </w:rPr>
      </w:pPr>
      <w:r w:rsidRPr="00495094">
        <w:rPr>
          <w:u w:val="single"/>
        </w:rPr>
        <w:t>Operating lease commitments</w:t>
      </w:r>
    </w:p>
    <w:p w14:paraId="646CBB0D" w14:textId="77777777" w:rsidR="00442895" w:rsidRPr="00495094" w:rsidRDefault="00442895" w:rsidP="00442895">
      <w:pPr>
        <w:rPr>
          <w:rFonts w:ascii="Arial" w:hAnsi="Arial" w:cs="Arial"/>
          <w:sz w:val="22"/>
          <w:szCs w:val="22"/>
        </w:rPr>
      </w:pPr>
    </w:p>
    <w:p w14:paraId="3E64CDFF" w14:textId="34CF2805" w:rsidR="003273DF" w:rsidRPr="00495094" w:rsidRDefault="00FD3C89" w:rsidP="00E33BFC">
      <w:pPr>
        <w:rPr>
          <w:rFonts w:ascii="Arial" w:hAnsi="Arial" w:cs="Arial"/>
          <w:sz w:val="22"/>
          <w:szCs w:val="22"/>
        </w:rPr>
      </w:pPr>
      <w:r w:rsidRPr="00495094">
        <w:rPr>
          <w:rFonts w:ascii="Arial" w:hAnsi="Arial" w:cs="Arial"/>
          <w:sz w:val="22"/>
          <w:szCs w:val="22"/>
        </w:rPr>
        <w:t>The Bank assesses at contract inception whether a contract is, or contains a lease.  A contract contains a lease if it conveys the right to control the use of an identified asset for a period of time in exchange for considerations.  It applies a single recognition and measurement approach for all leases, except for short term leases and leases of low value assets.  Also, the Bank applies the short term and low value assets lease recognition exemptions to its lease of branch premises with remaining lease term which are non-cancellable when they ceased operations.  The Bank has no lease liabilities and Right of Use Assets recognized.</w:t>
      </w:r>
    </w:p>
    <w:p w14:paraId="7C99EAA8" w14:textId="77777777" w:rsidR="005765FD" w:rsidRPr="00495094" w:rsidRDefault="005765FD" w:rsidP="00E33BFC">
      <w:pPr>
        <w:rPr>
          <w:rFonts w:ascii="Arial" w:hAnsi="Arial" w:cs="Arial"/>
          <w:sz w:val="22"/>
          <w:szCs w:val="22"/>
        </w:rPr>
      </w:pPr>
    </w:p>
    <w:p w14:paraId="326E121B" w14:textId="19BF6160" w:rsidR="00F15C6F" w:rsidRPr="00495094" w:rsidRDefault="00F15C6F" w:rsidP="007F4EEC">
      <w:pPr>
        <w:pStyle w:val="ListParagraph"/>
        <w:numPr>
          <w:ilvl w:val="1"/>
          <w:numId w:val="8"/>
        </w:numPr>
        <w:ind w:left="709" w:hanging="709"/>
        <w:rPr>
          <w:u w:val="single"/>
        </w:rPr>
      </w:pPr>
      <w:r w:rsidRPr="00495094">
        <w:rPr>
          <w:u w:val="single"/>
        </w:rPr>
        <w:t>Impairment losses of loans and receivables</w:t>
      </w:r>
    </w:p>
    <w:p w14:paraId="43B97185" w14:textId="77777777" w:rsidR="00F15C6F" w:rsidRPr="00495094" w:rsidRDefault="00F15C6F" w:rsidP="00F15C6F">
      <w:pPr>
        <w:rPr>
          <w:rFonts w:ascii="Arial" w:hAnsi="Arial" w:cs="Arial"/>
          <w:sz w:val="22"/>
          <w:szCs w:val="22"/>
          <w:u w:val="single"/>
        </w:rPr>
      </w:pPr>
    </w:p>
    <w:p w14:paraId="58D6C258" w14:textId="77777777" w:rsidR="00F15C6F" w:rsidRPr="00495094" w:rsidRDefault="00F15C6F" w:rsidP="00F15C6F">
      <w:pPr>
        <w:pStyle w:val="BodyTextIndent2"/>
        <w:ind w:left="0"/>
        <w:rPr>
          <w:rFonts w:ascii="Arial" w:hAnsi="Arial" w:cs="Arial"/>
          <w:sz w:val="22"/>
          <w:szCs w:val="22"/>
        </w:rPr>
      </w:pPr>
      <w:r w:rsidRPr="00495094">
        <w:rPr>
          <w:rFonts w:ascii="Arial" w:hAnsi="Arial" w:cs="Arial"/>
          <w:sz w:val="22"/>
          <w:szCs w:val="22"/>
        </w:rPr>
        <w:t xml:space="preserve">The Bank reviews its loan portfolio to assess impairment </w:t>
      </w:r>
      <w:r w:rsidRPr="00495094">
        <w:rPr>
          <w:rFonts w:ascii="Arial" w:hAnsi="Arial" w:cs="Arial"/>
          <w:bCs/>
          <w:sz w:val="22"/>
          <w:szCs w:val="22"/>
        </w:rPr>
        <w:t>at least annually</w:t>
      </w:r>
      <w:r w:rsidRPr="00495094">
        <w:rPr>
          <w:rFonts w:ascii="Arial" w:hAnsi="Arial" w:cs="Arial"/>
          <w:sz w:val="22"/>
          <w:szCs w:val="22"/>
        </w:rPr>
        <w:t xml:space="preserve"> or as the need arises.  In determining whether an impairment loss should be recorded in the books, the Bank makes judgment as to whether there is any observable data indicating that there is a measurable decrease in the estimated future cash flows including information indicating that there has been an adverse change in payment status of borrowers, or national or local economic conditions that correlate with defaults on assets.</w:t>
      </w:r>
    </w:p>
    <w:p w14:paraId="4F701CB1" w14:textId="77777777" w:rsidR="00442895" w:rsidRPr="00495094" w:rsidRDefault="00442895" w:rsidP="00F15C6F">
      <w:pPr>
        <w:pStyle w:val="BodyTextIndent2"/>
        <w:ind w:left="0"/>
        <w:rPr>
          <w:rFonts w:ascii="Arial" w:hAnsi="Arial" w:cs="Arial"/>
          <w:sz w:val="22"/>
          <w:szCs w:val="22"/>
        </w:rPr>
      </w:pPr>
    </w:p>
    <w:p w14:paraId="41EA9351" w14:textId="1779C651" w:rsidR="00F15C6F" w:rsidRPr="00495094" w:rsidRDefault="00CB2DD4" w:rsidP="00F15C6F">
      <w:pPr>
        <w:pStyle w:val="BodyTextIndent2"/>
        <w:ind w:left="0"/>
        <w:rPr>
          <w:rFonts w:ascii="Arial" w:hAnsi="Arial" w:cs="Arial"/>
          <w:sz w:val="22"/>
          <w:szCs w:val="22"/>
        </w:rPr>
      </w:pPr>
      <w:r w:rsidRPr="00495094">
        <w:rPr>
          <w:rFonts w:ascii="Arial" w:hAnsi="Arial" w:cs="Arial"/>
          <w:sz w:val="22"/>
          <w:szCs w:val="22"/>
        </w:rPr>
        <w:t>The Bank estimated a total of P</w:t>
      </w:r>
      <w:r w:rsidR="003B4029" w:rsidRPr="00495094">
        <w:rPr>
          <w:rFonts w:ascii="Arial" w:hAnsi="Arial" w:cs="Arial"/>
          <w:sz w:val="22"/>
          <w:szCs w:val="22"/>
        </w:rPr>
        <w:t>9</w:t>
      </w:r>
      <w:r w:rsidR="00D05F68" w:rsidRPr="00495094">
        <w:rPr>
          <w:rFonts w:ascii="Arial" w:hAnsi="Arial" w:cs="Arial"/>
          <w:sz w:val="22"/>
          <w:szCs w:val="22"/>
        </w:rPr>
        <w:t>.</w:t>
      </w:r>
      <w:r w:rsidR="003B4029" w:rsidRPr="00495094">
        <w:rPr>
          <w:rFonts w:ascii="Arial" w:hAnsi="Arial" w:cs="Arial"/>
          <w:sz w:val="22"/>
          <w:szCs w:val="22"/>
        </w:rPr>
        <w:t>69</w:t>
      </w:r>
      <w:r w:rsidRPr="00495094">
        <w:rPr>
          <w:rFonts w:ascii="Arial" w:hAnsi="Arial" w:cs="Arial"/>
          <w:sz w:val="22"/>
          <w:szCs w:val="22"/>
        </w:rPr>
        <w:t xml:space="preserve"> million additional credi</w:t>
      </w:r>
      <w:r w:rsidR="0023334D" w:rsidRPr="00495094">
        <w:rPr>
          <w:rFonts w:ascii="Arial" w:hAnsi="Arial" w:cs="Arial"/>
          <w:sz w:val="22"/>
          <w:szCs w:val="22"/>
        </w:rPr>
        <w:t>t losses as of December 31, 2022</w:t>
      </w:r>
      <w:r w:rsidRPr="00495094">
        <w:rPr>
          <w:rFonts w:ascii="Arial" w:hAnsi="Arial" w:cs="Arial"/>
          <w:sz w:val="22"/>
          <w:szCs w:val="22"/>
        </w:rPr>
        <w:t xml:space="preserve"> computed using Expected Credit Losses Model of </w:t>
      </w:r>
      <w:r w:rsidR="00E13AD2" w:rsidRPr="00495094">
        <w:rPr>
          <w:rFonts w:ascii="Arial" w:hAnsi="Arial" w:cs="Arial"/>
          <w:sz w:val="22"/>
          <w:szCs w:val="22"/>
        </w:rPr>
        <w:t>P</w:t>
      </w:r>
      <w:r w:rsidRPr="00495094">
        <w:rPr>
          <w:rFonts w:ascii="Arial" w:hAnsi="Arial" w:cs="Arial"/>
          <w:sz w:val="22"/>
          <w:szCs w:val="22"/>
        </w:rPr>
        <w:t xml:space="preserve">arent </w:t>
      </w:r>
      <w:r w:rsidR="00E13AD2" w:rsidRPr="00495094">
        <w:rPr>
          <w:rFonts w:ascii="Arial" w:hAnsi="Arial" w:cs="Arial"/>
          <w:sz w:val="22"/>
          <w:szCs w:val="22"/>
        </w:rPr>
        <w:t>B</w:t>
      </w:r>
      <w:r w:rsidRPr="00495094">
        <w:rPr>
          <w:rFonts w:ascii="Arial" w:hAnsi="Arial" w:cs="Arial"/>
          <w:sz w:val="22"/>
          <w:szCs w:val="22"/>
        </w:rPr>
        <w:t xml:space="preserve">ank.  Net carrying value of </w:t>
      </w:r>
      <w:r w:rsidR="0048232C" w:rsidRPr="00495094">
        <w:rPr>
          <w:rFonts w:ascii="Arial" w:hAnsi="Arial" w:cs="Arial"/>
          <w:sz w:val="22"/>
          <w:szCs w:val="22"/>
        </w:rPr>
        <w:t>loans from customers stood at P</w:t>
      </w:r>
      <w:r w:rsidR="0023334D" w:rsidRPr="00495094">
        <w:rPr>
          <w:rFonts w:ascii="Arial" w:hAnsi="Arial" w:cs="Arial"/>
          <w:sz w:val="22"/>
          <w:szCs w:val="22"/>
        </w:rPr>
        <w:t>1,8</w:t>
      </w:r>
      <w:r w:rsidR="009678F5" w:rsidRPr="00495094">
        <w:rPr>
          <w:rFonts w:ascii="Arial" w:hAnsi="Arial" w:cs="Arial"/>
          <w:sz w:val="22"/>
          <w:szCs w:val="22"/>
        </w:rPr>
        <w:t>3</w:t>
      </w:r>
      <w:r w:rsidR="003B4029" w:rsidRPr="00495094">
        <w:rPr>
          <w:rFonts w:ascii="Arial" w:hAnsi="Arial" w:cs="Arial"/>
          <w:sz w:val="22"/>
          <w:szCs w:val="22"/>
        </w:rPr>
        <w:t>4</w:t>
      </w:r>
      <w:r w:rsidR="0023334D" w:rsidRPr="00495094">
        <w:rPr>
          <w:rFonts w:ascii="Arial" w:hAnsi="Arial" w:cs="Arial"/>
          <w:sz w:val="22"/>
          <w:szCs w:val="22"/>
        </w:rPr>
        <w:t>.</w:t>
      </w:r>
      <w:r w:rsidR="003B4029" w:rsidRPr="00495094">
        <w:rPr>
          <w:rFonts w:ascii="Arial" w:hAnsi="Arial" w:cs="Arial"/>
          <w:sz w:val="22"/>
          <w:szCs w:val="22"/>
        </w:rPr>
        <w:t>81</w:t>
      </w:r>
      <w:r w:rsidRPr="00495094">
        <w:rPr>
          <w:rFonts w:ascii="Arial" w:hAnsi="Arial" w:cs="Arial"/>
          <w:sz w:val="22"/>
          <w:szCs w:val="22"/>
        </w:rPr>
        <w:t xml:space="preserve"> million</w:t>
      </w:r>
      <w:r w:rsidR="00C85A38" w:rsidRPr="00495094">
        <w:rPr>
          <w:rFonts w:ascii="Arial" w:hAnsi="Arial" w:cs="Arial"/>
          <w:sz w:val="22"/>
          <w:szCs w:val="22"/>
        </w:rPr>
        <w:t>, net of allowance for credit losses amounting to P</w:t>
      </w:r>
      <w:r w:rsidR="003B4029" w:rsidRPr="00495094">
        <w:rPr>
          <w:rFonts w:ascii="Arial" w:hAnsi="Arial" w:cs="Arial"/>
          <w:sz w:val="22"/>
          <w:szCs w:val="22"/>
        </w:rPr>
        <w:t>31</w:t>
      </w:r>
      <w:r w:rsidR="00A63C12" w:rsidRPr="00495094">
        <w:rPr>
          <w:rFonts w:ascii="Arial" w:hAnsi="Arial" w:cs="Arial"/>
          <w:sz w:val="22"/>
          <w:szCs w:val="22"/>
        </w:rPr>
        <w:t>.</w:t>
      </w:r>
      <w:r w:rsidR="003B4029" w:rsidRPr="00495094">
        <w:rPr>
          <w:rFonts w:ascii="Arial" w:hAnsi="Arial" w:cs="Arial"/>
          <w:sz w:val="22"/>
          <w:szCs w:val="22"/>
        </w:rPr>
        <w:t>31</w:t>
      </w:r>
      <w:r w:rsidR="00C85A38" w:rsidRPr="00495094">
        <w:rPr>
          <w:rFonts w:ascii="Arial" w:hAnsi="Arial" w:cs="Arial"/>
          <w:sz w:val="22"/>
          <w:szCs w:val="22"/>
        </w:rPr>
        <w:t xml:space="preserve"> million</w:t>
      </w:r>
      <w:r w:rsidRPr="00495094">
        <w:rPr>
          <w:rFonts w:ascii="Arial" w:hAnsi="Arial" w:cs="Arial"/>
          <w:sz w:val="22"/>
          <w:szCs w:val="22"/>
        </w:rPr>
        <w:t>.</w:t>
      </w:r>
    </w:p>
    <w:p w14:paraId="7D767B42" w14:textId="77777777" w:rsidR="00EA4391" w:rsidRPr="00495094" w:rsidRDefault="00EA4391" w:rsidP="00F15C6F">
      <w:pPr>
        <w:pStyle w:val="BodyTextIndent2"/>
        <w:ind w:left="0"/>
        <w:rPr>
          <w:rFonts w:ascii="Arial" w:hAnsi="Arial" w:cs="Arial"/>
          <w:sz w:val="22"/>
          <w:szCs w:val="22"/>
        </w:rPr>
      </w:pPr>
    </w:p>
    <w:p w14:paraId="090C27A2" w14:textId="7820AB14" w:rsidR="006D37E3" w:rsidRPr="00495094" w:rsidRDefault="006D37E3" w:rsidP="007F4EEC">
      <w:pPr>
        <w:pStyle w:val="ListParagraph"/>
        <w:numPr>
          <w:ilvl w:val="1"/>
          <w:numId w:val="8"/>
        </w:numPr>
        <w:ind w:left="709" w:hanging="709"/>
        <w:rPr>
          <w:u w:val="single"/>
        </w:rPr>
      </w:pPr>
      <w:r w:rsidRPr="00495094">
        <w:rPr>
          <w:u w:val="single"/>
        </w:rPr>
        <w:t xml:space="preserve">Impairment of </w:t>
      </w:r>
      <w:r w:rsidR="001E645C" w:rsidRPr="00495094">
        <w:rPr>
          <w:u w:val="single"/>
        </w:rPr>
        <w:t>FVOCI</w:t>
      </w:r>
      <w:r w:rsidRPr="00495094">
        <w:rPr>
          <w:u w:val="single"/>
        </w:rPr>
        <w:t xml:space="preserve"> investments</w:t>
      </w:r>
    </w:p>
    <w:p w14:paraId="1FF0D76D" w14:textId="77777777" w:rsidR="00442895" w:rsidRPr="00495094" w:rsidRDefault="00442895" w:rsidP="00982690">
      <w:pPr>
        <w:rPr>
          <w:rFonts w:ascii="Arial" w:hAnsi="Arial" w:cs="Arial"/>
          <w:sz w:val="22"/>
          <w:szCs w:val="22"/>
          <w:u w:val="single"/>
        </w:rPr>
      </w:pPr>
    </w:p>
    <w:p w14:paraId="2269C8A3" w14:textId="4FC58C60" w:rsidR="006D37E3" w:rsidRPr="00495094" w:rsidRDefault="006D37E3" w:rsidP="006D37E3">
      <w:pPr>
        <w:pStyle w:val="BodyTextIndent2"/>
        <w:ind w:left="0"/>
        <w:rPr>
          <w:rFonts w:ascii="Arial" w:hAnsi="Arial" w:cs="Arial"/>
          <w:sz w:val="22"/>
          <w:szCs w:val="22"/>
        </w:rPr>
      </w:pPr>
      <w:r w:rsidRPr="00495094">
        <w:rPr>
          <w:rFonts w:ascii="Arial" w:hAnsi="Arial" w:cs="Arial"/>
          <w:sz w:val="22"/>
          <w:szCs w:val="22"/>
        </w:rPr>
        <w:t xml:space="preserve">The Bank considers </w:t>
      </w:r>
      <w:r w:rsidR="001E645C" w:rsidRPr="00495094">
        <w:rPr>
          <w:rFonts w:ascii="Arial" w:hAnsi="Arial" w:cs="Arial"/>
          <w:sz w:val="22"/>
          <w:szCs w:val="22"/>
        </w:rPr>
        <w:t>FVOCI</w:t>
      </w:r>
      <w:r w:rsidRPr="00495094">
        <w:rPr>
          <w:rFonts w:ascii="Arial" w:hAnsi="Arial" w:cs="Arial"/>
          <w:sz w:val="22"/>
          <w:szCs w:val="22"/>
        </w:rPr>
        <w:t xml:space="preserve"> investments as impaired when there has been a significant or prolonged decline in fair value (market value) below its </w:t>
      </w:r>
      <w:r w:rsidR="004B5D5C" w:rsidRPr="00495094">
        <w:rPr>
          <w:rFonts w:ascii="Arial" w:hAnsi="Arial" w:cs="Arial"/>
          <w:sz w:val="22"/>
          <w:szCs w:val="22"/>
        </w:rPr>
        <w:t>carrying amount</w:t>
      </w:r>
      <w:r w:rsidRPr="00495094">
        <w:rPr>
          <w:rFonts w:ascii="Arial" w:hAnsi="Arial" w:cs="Arial"/>
          <w:sz w:val="22"/>
          <w:szCs w:val="22"/>
        </w:rPr>
        <w:t xml:space="preserve">. </w:t>
      </w:r>
      <w:r w:rsidR="00706953" w:rsidRPr="00495094">
        <w:rPr>
          <w:rFonts w:ascii="Arial" w:hAnsi="Arial" w:cs="Arial"/>
          <w:sz w:val="22"/>
          <w:szCs w:val="22"/>
        </w:rPr>
        <w:t>T</w:t>
      </w:r>
      <w:r w:rsidRPr="00495094">
        <w:rPr>
          <w:rFonts w:ascii="Arial" w:hAnsi="Arial" w:cs="Arial"/>
          <w:sz w:val="22"/>
          <w:szCs w:val="22"/>
        </w:rPr>
        <w:t>he determination of significant or prolonged decline in fair value requires judgment. In making this judgment, the Bank evaluates among other factors, the normal volatility in prices. Impairment may also be appropriate when there is evidence of deterioration in the financial health of the Investee Company, industry and sector performance, changes in technology and operational and financing cash flows.</w:t>
      </w:r>
    </w:p>
    <w:p w14:paraId="68A70D79" w14:textId="77777777" w:rsidR="00183532" w:rsidRPr="00495094" w:rsidRDefault="00183532" w:rsidP="006D37E3">
      <w:pPr>
        <w:pStyle w:val="BodyTextIndent2"/>
        <w:ind w:left="0"/>
        <w:rPr>
          <w:rFonts w:ascii="Arial" w:hAnsi="Arial" w:cs="Arial"/>
          <w:sz w:val="22"/>
          <w:szCs w:val="22"/>
        </w:rPr>
      </w:pPr>
    </w:p>
    <w:p w14:paraId="5178B032" w14:textId="2E9B3F12" w:rsidR="006D37E3" w:rsidRPr="00495094" w:rsidRDefault="006D37E3" w:rsidP="007F4EEC">
      <w:pPr>
        <w:pStyle w:val="ListParagraph"/>
        <w:numPr>
          <w:ilvl w:val="1"/>
          <w:numId w:val="8"/>
        </w:numPr>
        <w:ind w:left="709" w:hanging="709"/>
        <w:rPr>
          <w:u w:val="single"/>
        </w:rPr>
      </w:pPr>
      <w:r w:rsidRPr="00495094">
        <w:rPr>
          <w:u w:val="single"/>
        </w:rPr>
        <w:t xml:space="preserve">Impairment of </w:t>
      </w:r>
      <w:r w:rsidR="005E3D92" w:rsidRPr="00495094">
        <w:rPr>
          <w:u w:val="single"/>
        </w:rPr>
        <w:t>Property</w:t>
      </w:r>
      <w:r w:rsidRPr="00495094">
        <w:rPr>
          <w:u w:val="single"/>
        </w:rPr>
        <w:t xml:space="preserve"> and Equipment /Other Assets</w:t>
      </w:r>
    </w:p>
    <w:p w14:paraId="1E0C4383" w14:textId="77777777" w:rsidR="006D37E3" w:rsidRPr="00495094" w:rsidRDefault="006D37E3" w:rsidP="006D37E3">
      <w:pPr>
        <w:rPr>
          <w:rFonts w:ascii="Arial" w:hAnsi="Arial" w:cs="Arial"/>
          <w:sz w:val="22"/>
          <w:szCs w:val="22"/>
        </w:rPr>
      </w:pPr>
    </w:p>
    <w:p w14:paraId="3A0F3F5D" w14:textId="77777777" w:rsidR="00F15C6F" w:rsidRPr="00495094" w:rsidRDefault="00F15C6F" w:rsidP="00F15C6F">
      <w:pPr>
        <w:rPr>
          <w:rFonts w:ascii="Arial" w:hAnsi="Arial" w:cs="Arial"/>
          <w:sz w:val="22"/>
          <w:szCs w:val="22"/>
        </w:rPr>
      </w:pPr>
      <w:r w:rsidRPr="00495094">
        <w:rPr>
          <w:rFonts w:ascii="Arial" w:hAnsi="Arial" w:cs="Arial"/>
          <w:sz w:val="22"/>
          <w:szCs w:val="22"/>
        </w:rPr>
        <w:t>Assets are reviewed and tested whenever there is indication of impairment at least annually. Impairment of assets requires estimates and judgments through the use of certain tools/devices/factors/market data/existing conditions.</w:t>
      </w:r>
    </w:p>
    <w:p w14:paraId="239B9F75" w14:textId="77777777" w:rsidR="00323924" w:rsidRPr="00495094" w:rsidRDefault="00323924" w:rsidP="00A36122">
      <w:pPr>
        <w:rPr>
          <w:rFonts w:ascii="Arial" w:hAnsi="Arial" w:cs="Arial"/>
          <w:sz w:val="22"/>
          <w:szCs w:val="22"/>
        </w:rPr>
      </w:pPr>
    </w:p>
    <w:p w14:paraId="4FC61317" w14:textId="77777777" w:rsidR="00F82AB4" w:rsidRPr="00495094" w:rsidRDefault="00F82AB4" w:rsidP="00F82AB4">
      <w:pPr>
        <w:pStyle w:val="BodyTextIndent2"/>
        <w:ind w:left="0"/>
        <w:rPr>
          <w:rFonts w:ascii="Arial" w:hAnsi="Arial" w:cs="Arial"/>
          <w:sz w:val="22"/>
          <w:szCs w:val="22"/>
        </w:rPr>
      </w:pPr>
      <w:r w:rsidRPr="00495094">
        <w:rPr>
          <w:rFonts w:ascii="Arial" w:hAnsi="Arial" w:cs="Arial"/>
          <w:sz w:val="22"/>
          <w:szCs w:val="22"/>
        </w:rPr>
        <w:lastRenderedPageBreak/>
        <w:t>Management determines the estimated useful lives and related depreciation charges for its property and equipment. The Bank will increase the depreciation charge where useful lives are less than previously estimated, or it will write-off or write-down technically obsolete or items that have been sold.</w:t>
      </w:r>
    </w:p>
    <w:p w14:paraId="0EF52FA0" w14:textId="77777777" w:rsidR="003F2289" w:rsidRPr="00495094" w:rsidRDefault="003F2289" w:rsidP="00F82AB4">
      <w:pPr>
        <w:pStyle w:val="BodyTextIndent2"/>
        <w:ind w:left="0"/>
        <w:rPr>
          <w:rFonts w:ascii="Arial" w:hAnsi="Arial" w:cs="Arial"/>
          <w:sz w:val="22"/>
          <w:szCs w:val="22"/>
        </w:rPr>
      </w:pPr>
    </w:p>
    <w:p w14:paraId="06562267" w14:textId="77777777" w:rsidR="006522FC" w:rsidRPr="00495094" w:rsidRDefault="006522FC" w:rsidP="00F82AB4">
      <w:pPr>
        <w:pStyle w:val="BodyTextIndent2"/>
        <w:ind w:left="0"/>
        <w:rPr>
          <w:rFonts w:ascii="Arial" w:hAnsi="Arial" w:cs="Arial"/>
          <w:sz w:val="22"/>
          <w:szCs w:val="22"/>
        </w:rPr>
      </w:pPr>
    </w:p>
    <w:p w14:paraId="79573FA6" w14:textId="77777777" w:rsidR="00F82AB4" w:rsidRPr="00495094" w:rsidRDefault="00F82AB4" w:rsidP="007F4EEC">
      <w:pPr>
        <w:numPr>
          <w:ilvl w:val="0"/>
          <w:numId w:val="12"/>
        </w:numPr>
        <w:ind w:left="709" w:hanging="709"/>
        <w:rPr>
          <w:rFonts w:ascii="Arial" w:hAnsi="Arial" w:cs="Arial"/>
          <w:b/>
          <w:bCs/>
          <w:sz w:val="22"/>
          <w:szCs w:val="22"/>
        </w:rPr>
      </w:pPr>
      <w:r w:rsidRPr="00495094">
        <w:rPr>
          <w:rFonts w:ascii="Arial" w:hAnsi="Arial" w:cs="Arial"/>
          <w:b/>
          <w:bCs/>
          <w:sz w:val="22"/>
          <w:szCs w:val="22"/>
        </w:rPr>
        <w:t>Fair Value Hierarchy</w:t>
      </w:r>
    </w:p>
    <w:p w14:paraId="2331CC6D" w14:textId="77777777" w:rsidR="00F82AB4" w:rsidRPr="00495094" w:rsidRDefault="00F82AB4" w:rsidP="00F82AB4">
      <w:pPr>
        <w:ind w:left="426"/>
        <w:rPr>
          <w:rFonts w:ascii="Arial" w:hAnsi="Arial" w:cs="Arial"/>
          <w:sz w:val="22"/>
          <w:szCs w:val="22"/>
        </w:rPr>
      </w:pPr>
    </w:p>
    <w:p w14:paraId="487C34A9" w14:textId="77777777" w:rsidR="00F82AB4" w:rsidRPr="00495094" w:rsidRDefault="00F82AB4" w:rsidP="003F2289">
      <w:pPr>
        <w:pStyle w:val="BodyTextIndent2"/>
        <w:ind w:left="0"/>
        <w:rPr>
          <w:rFonts w:ascii="Arial" w:hAnsi="Arial" w:cs="Arial"/>
          <w:sz w:val="22"/>
          <w:szCs w:val="22"/>
          <w:lang w:val="en-PH"/>
        </w:rPr>
      </w:pPr>
      <w:r w:rsidRPr="00495094">
        <w:rPr>
          <w:rFonts w:ascii="Arial" w:hAnsi="Arial" w:cs="Arial"/>
          <w:sz w:val="22"/>
          <w:szCs w:val="22"/>
        </w:rPr>
        <w:t xml:space="preserve">These levels are based on the inputs that are used to determine the fair value and can be summarized in: </w:t>
      </w:r>
    </w:p>
    <w:p w14:paraId="5FFD00AC" w14:textId="77777777" w:rsidR="00F82AB4" w:rsidRPr="00495094" w:rsidRDefault="00F82AB4" w:rsidP="00F82AB4">
      <w:pPr>
        <w:pStyle w:val="NormalWeb"/>
        <w:spacing w:before="0" w:beforeAutospacing="0" w:after="0" w:afterAutospacing="0"/>
        <w:ind w:left="1134" w:hanging="425"/>
        <w:rPr>
          <w:rFonts w:ascii="Arial" w:hAnsi="Arial" w:cs="Arial"/>
          <w:sz w:val="22"/>
          <w:szCs w:val="22"/>
        </w:rPr>
      </w:pPr>
    </w:p>
    <w:p w14:paraId="080FB90E" w14:textId="35B9BE4F" w:rsidR="00F82AB4" w:rsidRPr="00495094" w:rsidRDefault="00F82AB4" w:rsidP="00F82AB4">
      <w:pPr>
        <w:pStyle w:val="NormalWeb"/>
        <w:tabs>
          <w:tab w:val="left" w:pos="1701"/>
        </w:tabs>
        <w:spacing w:before="0" w:beforeAutospacing="0" w:after="0" w:afterAutospacing="0"/>
        <w:ind w:left="1134" w:hanging="425"/>
        <w:rPr>
          <w:rFonts w:ascii="Arial" w:hAnsi="Arial" w:cs="Arial"/>
          <w:sz w:val="22"/>
          <w:szCs w:val="22"/>
        </w:rPr>
      </w:pPr>
      <w:r w:rsidRPr="00495094">
        <w:rPr>
          <w:rFonts w:ascii="Arial" w:hAnsi="Arial" w:cs="Arial"/>
          <w:sz w:val="22"/>
          <w:szCs w:val="22"/>
        </w:rPr>
        <w:t xml:space="preserve">Level </w:t>
      </w:r>
      <w:r w:rsidR="00183532" w:rsidRPr="00495094">
        <w:rPr>
          <w:rFonts w:ascii="Arial" w:hAnsi="Arial" w:cs="Arial"/>
          <w:sz w:val="22"/>
          <w:szCs w:val="22"/>
        </w:rPr>
        <w:t>1:</w:t>
      </w:r>
      <w:r w:rsidRPr="00495094">
        <w:rPr>
          <w:rFonts w:ascii="Arial" w:hAnsi="Arial" w:cs="Arial"/>
          <w:sz w:val="22"/>
          <w:szCs w:val="22"/>
        </w:rPr>
        <w:tab/>
        <w:t>quoted prices in active markets for identical assets or liabilities</w:t>
      </w:r>
    </w:p>
    <w:p w14:paraId="61195C89" w14:textId="31C6AEF9" w:rsidR="00F82AB4" w:rsidRPr="00495094" w:rsidRDefault="00F82AB4" w:rsidP="00F82AB4">
      <w:pPr>
        <w:pStyle w:val="NormalWeb"/>
        <w:spacing w:before="0" w:beforeAutospacing="0" w:after="0" w:afterAutospacing="0"/>
        <w:ind w:left="1701" w:hanging="992"/>
        <w:rPr>
          <w:rFonts w:ascii="Arial" w:hAnsi="Arial" w:cs="Arial"/>
          <w:sz w:val="22"/>
          <w:szCs w:val="22"/>
        </w:rPr>
      </w:pPr>
      <w:r w:rsidRPr="00495094">
        <w:rPr>
          <w:rFonts w:ascii="Arial" w:hAnsi="Arial" w:cs="Arial"/>
          <w:sz w:val="22"/>
          <w:szCs w:val="22"/>
        </w:rPr>
        <w:t xml:space="preserve">Level </w:t>
      </w:r>
      <w:r w:rsidR="00183532" w:rsidRPr="00495094">
        <w:rPr>
          <w:rFonts w:ascii="Arial" w:hAnsi="Arial" w:cs="Arial"/>
          <w:sz w:val="22"/>
          <w:szCs w:val="22"/>
        </w:rPr>
        <w:t>2:</w:t>
      </w:r>
      <w:r w:rsidRPr="00495094">
        <w:rPr>
          <w:rFonts w:ascii="Arial" w:hAnsi="Arial" w:cs="Arial"/>
          <w:sz w:val="22"/>
          <w:szCs w:val="22"/>
        </w:rPr>
        <w:tab/>
        <w:t>inputs other than quoted prices included in Level 1 that are observable for the asset or liability, either directly (as prices) or indirectly (derived from prices)</w:t>
      </w:r>
    </w:p>
    <w:p w14:paraId="172834F7" w14:textId="3BFD8133" w:rsidR="00F82AB4" w:rsidRPr="00495094" w:rsidRDefault="00F82AB4" w:rsidP="00F82AB4">
      <w:pPr>
        <w:pStyle w:val="NormalWeb"/>
        <w:spacing w:before="0" w:beforeAutospacing="0" w:after="0" w:afterAutospacing="0"/>
        <w:ind w:left="1701" w:hanging="992"/>
        <w:rPr>
          <w:rFonts w:ascii="Arial" w:hAnsi="Arial" w:cs="Arial"/>
          <w:sz w:val="22"/>
          <w:szCs w:val="22"/>
        </w:rPr>
      </w:pPr>
      <w:r w:rsidRPr="00495094">
        <w:rPr>
          <w:rFonts w:ascii="Arial" w:hAnsi="Arial" w:cs="Arial"/>
          <w:sz w:val="22"/>
          <w:szCs w:val="22"/>
        </w:rPr>
        <w:t>Level 3:</w:t>
      </w:r>
      <w:r w:rsidRPr="00495094">
        <w:rPr>
          <w:rFonts w:ascii="Arial" w:hAnsi="Arial" w:cs="Arial"/>
          <w:sz w:val="22"/>
          <w:szCs w:val="22"/>
        </w:rPr>
        <w:tab/>
        <w:t xml:space="preserve">inputs that are not based on observable market data or unobservable inputs </w:t>
      </w:r>
    </w:p>
    <w:p w14:paraId="24366CAE" w14:textId="77777777" w:rsidR="007F4547" w:rsidRPr="00495094" w:rsidRDefault="007F4547" w:rsidP="00F82AB4">
      <w:pPr>
        <w:pStyle w:val="NormalWeb"/>
        <w:spacing w:before="0" w:beforeAutospacing="0" w:after="0" w:afterAutospacing="0"/>
        <w:ind w:left="1701" w:hanging="992"/>
        <w:rPr>
          <w:rFonts w:ascii="Arial" w:hAnsi="Arial" w:cs="Arial"/>
          <w:sz w:val="22"/>
          <w:szCs w:val="22"/>
        </w:rPr>
      </w:pPr>
    </w:p>
    <w:p w14:paraId="094BE2B3" w14:textId="77777777" w:rsidR="008C2386" w:rsidRPr="00495094" w:rsidRDefault="008C2386" w:rsidP="00216402">
      <w:pPr>
        <w:pStyle w:val="NormalWeb"/>
        <w:spacing w:before="0" w:beforeAutospacing="0" w:after="0" w:afterAutospacing="0"/>
        <w:rPr>
          <w:rFonts w:ascii="Arial" w:hAnsi="Arial" w:cs="Arial"/>
          <w:sz w:val="22"/>
          <w:szCs w:val="22"/>
        </w:rPr>
      </w:pPr>
    </w:p>
    <w:p w14:paraId="52D9AA1E" w14:textId="565AC710" w:rsidR="001B74D6" w:rsidRPr="00495094" w:rsidRDefault="001B74D6" w:rsidP="007F4EEC">
      <w:pPr>
        <w:numPr>
          <w:ilvl w:val="0"/>
          <w:numId w:val="12"/>
        </w:numPr>
        <w:ind w:left="720"/>
        <w:rPr>
          <w:rFonts w:ascii="Arial" w:hAnsi="Arial" w:cs="Arial"/>
          <w:b/>
          <w:sz w:val="22"/>
          <w:szCs w:val="22"/>
        </w:rPr>
      </w:pPr>
      <w:r w:rsidRPr="00495094">
        <w:rPr>
          <w:rFonts w:ascii="Arial" w:hAnsi="Arial" w:cs="Arial"/>
          <w:b/>
          <w:sz w:val="22"/>
          <w:szCs w:val="22"/>
        </w:rPr>
        <w:t>Cash and Cash Equivalents</w:t>
      </w:r>
    </w:p>
    <w:p w14:paraId="7282D377" w14:textId="77777777" w:rsidR="001B74D6" w:rsidRPr="00495094" w:rsidRDefault="001B74D6" w:rsidP="001B74D6">
      <w:pPr>
        <w:rPr>
          <w:rFonts w:ascii="Arial" w:hAnsi="Arial" w:cs="Arial"/>
          <w:b/>
          <w:sz w:val="22"/>
          <w:szCs w:val="22"/>
        </w:rPr>
      </w:pPr>
    </w:p>
    <w:p w14:paraId="1FF77458" w14:textId="1CCAF5EA" w:rsidR="001B74D6" w:rsidRPr="00495094" w:rsidRDefault="001B74D6" w:rsidP="001B74D6">
      <w:pPr>
        <w:rPr>
          <w:rFonts w:ascii="Arial" w:hAnsi="Arial" w:cs="Arial"/>
          <w:sz w:val="22"/>
          <w:szCs w:val="22"/>
        </w:rPr>
      </w:pPr>
      <w:r w:rsidRPr="00495094">
        <w:rPr>
          <w:rFonts w:ascii="Arial" w:hAnsi="Arial" w:cs="Arial"/>
          <w:sz w:val="22"/>
          <w:szCs w:val="22"/>
        </w:rPr>
        <w:t>This is broken as follows:</w:t>
      </w:r>
    </w:p>
    <w:p w14:paraId="31620A8A" w14:textId="77777777" w:rsidR="001B74D6" w:rsidRPr="00495094" w:rsidRDefault="001B74D6" w:rsidP="001B74D6">
      <w:pPr>
        <w:ind w:left="720"/>
        <w:rPr>
          <w:rFonts w:ascii="Arial" w:hAnsi="Arial" w:cs="Arial"/>
          <w:sz w:val="22"/>
          <w:szCs w:val="22"/>
        </w:rPr>
      </w:pPr>
    </w:p>
    <w:tbl>
      <w:tblPr>
        <w:tblW w:w="8246" w:type="dxa"/>
        <w:tblInd w:w="108" w:type="dxa"/>
        <w:tblLook w:val="04A0" w:firstRow="1" w:lastRow="0" w:firstColumn="1" w:lastColumn="0" w:noHBand="0" w:noVBand="1"/>
      </w:tblPr>
      <w:tblGrid>
        <w:gridCol w:w="4145"/>
        <w:gridCol w:w="708"/>
        <w:gridCol w:w="1599"/>
        <w:gridCol w:w="1794"/>
      </w:tblGrid>
      <w:tr w:rsidR="00495094" w:rsidRPr="00495094" w14:paraId="0D05898D" w14:textId="77777777" w:rsidTr="00C67704">
        <w:trPr>
          <w:tblHeader/>
        </w:trPr>
        <w:tc>
          <w:tcPr>
            <w:tcW w:w="4145" w:type="dxa"/>
            <w:tcBorders>
              <w:top w:val="single" w:sz="4" w:space="0" w:color="auto"/>
              <w:bottom w:val="single" w:sz="4" w:space="0" w:color="auto"/>
            </w:tcBorders>
          </w:tcPr>
          <w:p w14:paraId="31E90A2E" w14:textId="77777777" w:rsidR="00C8745E" w:rsidRPr="00495094" w:rsidRDefault="00C8745E" w:rsidP="00FF0251">
            <w:pPr>
              <w:rPr>
                <w:rFonts w:ascii="Arial" w:hAnsi="Arial" w:cs="Arial"/>
                <w:sz w:val="22"/>
                <w:szCs w:val="22"/>
              </w:rPr>
            </w:pPr>
          </w:p>
        </w:tc>
        <w:tc>
          <w:tcPr>
            <w:tcW w:w="708" w:type="dxa"/>
            <w:tcBorders>
              <w:top w:val="single" w:sz="4" w:space="0" w:color="auto"/>
              <w:bottom w:val="single" w:sz="4" w:space="0" w:color="auto"/>
            </w:tcBorders>
          </w:tcPr>
          <w:p w14:paraId="4A73023A" w14:textId="2E9D3A42" w:rsidR="00C8745E" w:rsidRPr="00495094" w:rsidRDefault="00C8745E" w:rsidP="007F4547">
            <w:pPr>
              <w:jc w:val="center"/>
              <w:rPr>
                <w:rFonts w:ascii="Arial" w:hAnsi="Arial" w:cs="Arial"/>
                <w:b/>
                <w:bCs/>
                <w:sz w:val="22"/>
                <w:szCs w:val="22"/>
              </w:rPr>
            </w:pPr>
            <w:r w:rsidRPr="00495094">
              <w:rPr>
                <w:rFonts w:ascii="Arial" w:hAnsi="Arial" w:cs="Arial"/>
                <w:b/>
                <w:bCs/>
                <w:sz w:val="22"/>
                <w:szCs w:val="22"/>
              </w:rPr>
              <w:t>Note</w:t>
            </w:r>
          </w:p>
        </w:tc>
        <w:tc>
          <w:tcPr>
            <w:tcW w:w="1599" w:type="dxa"/>
            <w:tcBorders>
              <w:top w:val="single" w:sz="4" w:space="0" w:color="auto"/>
              <w:bottom w:val="single" w:sz="4" w:space="0" w:color="auto"/>
            </w:tcBorders>
          </w:tcPr>
          <w:p w14:paraId="54385A68" w14:textId="49E78D5B" w:rsidR="000610A9" w:rsidRPr="00495094" w:rsidRDefault="007F4547" w:rsidP="00A63C12">
            <w:pPr>
              <w:ind w:left="522"/>
              <w:jc w:val="center"/>
              <w:rPr>
                <w:rFonts w:ascii="Arial" w:hAnsi="Arial" w:cs="Arial"/>
                <w:b/>
                <w:bCs/>
                <w:sz w:val="22"/>
                <w:szCs w:val="22"/>
              </w:rPr>
            </w:pPr>
            <w:r w:rsidRPr="00495094">
              <w:rPr>
                <w:rFonts w:ascii="Arial" w:hAnsi="Arial" w:cs="Arial"/>
                <w:b/>
                <w:bCs/>
                <w:sz w:val="22"/>
                <w:szCs w:val="22"/>
              </w:rPr>
              <w:t>202</w:t>
            </w:r>
            <w:r w:rsidR="00A63C12" w:rsidRPr="00495094">
              <w:rPr>
                <w:rFonts w:ascii="Arial" w:hAnsi="Arial" w:cs="Arial"/>
                <w:b/>
                <w:bCs/>
                <w:sz w:val="22"/>
                <w:szCs w:val="22"/>
              </w:rPr>
              <w:t>2</w:t>
            </w:r>
          </w:p>
        </w:tc>
        <w:tc>
          <w:tcPr>
            <w:tcW w:w="1794" w:type="dxa"/>
            <w:tcBorders>
              <w:top w:val="single" w:sz="4" w:space="0" w:color="auto"/>
              <w:bottom w:val="single" w:sz="4" w:space="0" w:color="auto"/>
            </w:tcBorders>
          </w:tcPr>
          <w:p w14:paraId="10F11D81" w14:textId="59605B43" w:rsidR="007F4547" w:rsidRPr="00495094" w:rsidRDefault="000610A9" w:rsidP="00A63C12">
            <w:pPr>
              <w:ind w:left="702"/>
              <w:jc w:val="center"/>
              <w:rPr>
                <w:rFonts w:ascii="Arial" w:hAnsi="Arial" w:cs="Arial"/>
                <w:b/>
                <w:bCs/>
                <w:sz w:val="22"/>
                <w:szCs w:val="22"/>
              </w:rPr>
            </w:pPr>
            <w:r w:rsidRPr="00495094">
              <w:rPr>
                <w:rFonts w:ascii="Arial" w:hAnsi="Arial" w:cs="Arial"/>
                <w:b/>
                <w:bCs/>
                <w:sz w:val="22"/>
                <w:szCs w:val="22"/>
              </w:rPr>
              <w:t>20</w:t>
            </w:r>
            <w:r w:rsidR="007F4547" w:rsidRPr="00495094">
              <w:rPr>
                <w:rFonts w:ascii="Arial" w:hAnsi="Arial" w:cs="Arial"/>
                <w:b/>
                <w:bCs/>
                <w:sz w:val="22"/>
                <w:szCs w:val="22"/>
              </w:rPr>
              <w:t>2</w:t>
            </w:r>
            <w:r w:rsidR="00A63C12" w:rsidRPr="00495094">
              <w:rPr>
                <w:rFonts w:ascii="Arial" w:hAnsi="Arial" w:cs="Arial"/>
                <w:b/>
                <w:bCs/>
                <w:sz w:val="22"/>
                <w:szCs w:val="22"/>
              </w:rPr>
              <w:t>1</w:t>
            </w:r>
          </w:p>
        </w:tc>
      </w:tr>
      <w:tr w:rsidR="00495094" w:rsidRPr="00495094" w14:paraId="48A11327" w14:textId="77777777" w:rsidTr="00C67704">
        <w:tc>
          <w:tcPr>
            <w:tcW w:w="4145" w:type="dxa"/>
            <w:tcBorders>
              <w:left w:val="nil"/>
              <w:bottom w:val="nil"/>
              <w:right w:val="nil"/>
            </w:tcBorders>
            <w:shd w:val="clear" w:color="auto" w:fill="auto"/>
            <w:vAlign w:val="center"/>
          </w:tcPr>
          <w:p w14:paraId="76A08032" w14:textId="7583955B" w:rsidR="007F4547" w:rsidRPr="00495094" w:rsidRDefault="007F4547" w:rsidP="007F4547">
            <w:pPr>
              <w:rPr>
                <w:rFonts w:ascii="Arial" w:hAnsi="Arial" w:cs="Arial"/>
                <w:sz w:val="22"/>
                <w:szCs w:val="22"/>
              </w:rPr>
            </w:pPr>
            <w:r w:rsidRPr="00495094">
              <w:rPr>
                <w:rFonts w:ascii="Arial" w:hAnsi="Arial" w:cs="Arial"/>
                <w:sz w:val="22"/>
                <w:szCs w:val="22"/>
              </w:rPr>
              <w:t>Due from Bangko Sentral ng Pilipinas</w:t>
            </w:r>
          </w:p>
        </w:tc>
        <w:tc>
          <w:tcPr>
            <w:tcW w:w="708" w:type="dxa"/>
            <w:tcBorders>
              <w:left w:val="nil"/>
              <w:bottom w:val="nil"/>
              <w:right w:val="nil"/>
            </w:tcBorders>
            <w:vAlign w:val="bottom"/>
          </w:tcPr>
          <w:p w14:paraId="1B554F32" w14:textId="1D4C954F" w:rsidR="007F4547" w:rsidRPr="00495094" w:rsidRDefault="007F4547" w:rsidP="007F4547">
            <w:pPr>
              <w:jc w:val="center"/>
              <w:rPr>
                <w:rFonts w:ascii="Arial" w:hAnsi="Arial" w:cs="Arial"/>
                <w:sz w:val="22"/>
                <w:szCs w:val="22"/>
              </w:rPr>
            </w:pPr>
            <w:r w:rsidRPr="00495094">
              <w:rPr>
                <w:rFonts w:ascii="Arial" w:hAnsi="Arial" w:cs="Arial"/>
                <w:sz w:val="22"/>
                <w:szCs w:val="22"/>
              </w:rPr>
              <w:t>6</w:t>
            </w:r>
          </w:p>
        </w:tc>
        <w:tc>
          <w:tcPr>
            <w:tcW w:w="1599" w:type="dxa"/>
            <w:tcBorders>
              <w:left w:val="nil"/>
              <w:bottom w:val="nil"/>
              <w:right w:val="nil"/>
            </w:tcBorders>
            <w:shd w:val="clear" w:color="auto" w:fill="auto"/>
            <w:vAlign w:val="center"/>
          </w:tcPr>
          <w:p w14:paraId="0662FC7F" w14:textId="20BBBC71" w:rsidR="007F4547" w:rsidRPr="00495094" w:rsidRDefault="00A63C12" w:rsidP="00A63C12">
            <w:pPr>
              <w:jc w:val="right"/>
              <w:rPr>
                <w:rFonts w:ascii="Arial" w:hAnsi="Arial" w:cs="Arial"/>
                <w:sz w:val="22"/>
                <w:szCs w:val="22"/>
              </w:rPr>
            </w:pPr>
            <w:r w:rsidRPr="00495094">
              <w:rPr>
                <w:rFonts w:ascii="Arial" w:hAnsi="Arial" w:cs="Arial"/>
                <w:sz w:val="22"/>
                <w:szCs w:val="22"/>
              </w:rPr>
              <w:t>760,024,312</w:t>
            </w:r>
          </w:p>
        </w:tc>
        <w:tc>
          <w:tcPr>
            <w:tcW w:w="1794" w:type="dxa"/>
            <w:tcBorders>
              <w:left w:val="nil"/>
              <w:bottom w:val="nil"/>
              <w:right w:val="nil"/>
            </w:tcBorders>
            <w:shd w:val="clear" w:color="auto" w:fill="auto"/>
            <w:vAlign w:val="center"/>
          </w:tcPr>
          <w:p w14:paraId="1E7D5135" w14:textId="48F8ED9C" w:rsidR="007F4547" w:rsidRPr="00495094" w:rsidRDefault="00A63C12" w:rsidP="007F4547">
            <w:pPr>
              <w:jc w:val="right"/>
              <w:rPr>
                <w:rFonts w:ascii="Arial" w:hAnsi="Arial" w:cs="Arial"/>
                <w:sz w:val="22"/>
                <w:szCs w:val="22"/>
              </w:rPr>
            </w:pPr>
            <w:r w:rsidRPr="00495094">
              <w:rPr>
                <w:rFonts w:ascii="Arial" w:hAnsi="Arial" w:cs="Arial"/>
                <w:sz w:val="22"/>
                <w:szCs w:val="22"/>
              </w:rPr>
              <w:t>3,163,314,370</w:t>
            </w:r>
          </w:p>
        </w:tc>
      </w:tr>
      <w:tr w:rsidR="00495094" w:rsidRPr="00495094" w14:paraId="70326769" w14:textId="77777777" w:rsidTr="00C67704">
        <w:tc>
          <w:tcPr>
            <w:tcW w:w="4145" w:type="dxa"/>
            <w:tcBorders>
              <w:top w:val="nil"/>
              <w:left w:val="nil"/>
              <w:bottom w:val="nil"/>
              <w:right w:val="nil"/>
            </w:tcBorders>
            <w:shd w:val="clear" w:color="auto" w:fill="auto"/>
            <w:vAlign w:val="center"/>
          </w:tcPr>
          <w:p w14:paraId="78D64F47" w14:textId="3262493E" w:rsidR="007F4547" w:rsidRPr="00495094" w:rsidRDefault="007F4547" w:rsidP="007F4547">
            <w:pPr>
              <w:rPr>
                <w:rFonts w:ascii="Arial" w:hAnsi="Arial" w:cs="Arial"/>
                <w:sz w:val="22"/>
                <w:szCs w:val="22"/>
              </w:rPr>
            </w:pPr>
            <w:r w:rsidRPr="00495094">
              <w:rPr>
                <w:rFonts w:ascii="Arial" w:hAnsi="Arial" w:cs="Arial"/>
                <w:sz w:val="22"/>
                <w:szCs w:val="22"/>
              </w:rPr>
              <w:t>Due from other banks</w:t>
            </w:r>
          </w:p>
        </w:tc>
        <w:tc>
          <w:tcPr>
            <w:tcW w:w="708" w:type="dxa"/>
            <w:tcBorders>
              <w:top w:val="nil"/>
              <w:left w:val="nil"/>
              <w:bottom w:val="nil"/>
              <w:right w:val="nil"/>
            </w:tcBorders>
            <w:vAlign w:val="bottom"/>
          </w:tcPr>
          <w:p w14:paraId="5487C84F" w14:textId="1E08C9E6" w:rsidR="007F4547" w:rsidRPr="00495094" w:rsidRDefault="007F4547" w:rsidP="007F4547">
            <w:pPr>
              <w:jc w:val="center"/>
              <w:rPr>
                <w:rFonts w:ascii="Arial" w:hAnsi="Arial" w:cs="Arial"/>
                <w:sz w:val="22"/>
                <w:szCs w:val="22"/>
              </w:rPr>
            </w:pPr>
            <w:r w:rsidRPr="00495094">
              <w:rPr>
                <w:rFonts w:ascii="Arial" w:hAnsi="Arial" w:cs="Arial"/>
                <w:sz w:val="22"/>
                <w:szCs w:val="22"/>
              </w:rPr>
              <w:t>7</w:t>
            </w:r>
          </w:p>
        </w:tc>
        <w:tc>
          <w:tcPr>
            <w:tcW w:w="1599" w:type="dxa"/>
            <w:tcBorders>
              <w:top w:val="nil"/>
              <w:left w:val="nil"/>
              <w:bottom w:val="nil"/>
              <w:right w:val="nil"/>
            </w:tcBorders>
            <w:shd w:val="clear" w:color="auto" w:fill="auto"/>
            <w:vAlign w:val="center"/>
          </w:tcPr>
          <w:p w14:paraId="50AC51F9" w14:textId="39660819" w:rsidR="007F4547" w:rsidRPr="00495094" w:rsidRDefault="00A63C12" w:rsidP="007F4547">
            <w:pPr>
              <w:jc w:val="right"/>
              <w:rPr>
                <w:rFonts w:ascii="Arial" w:hAnsi="Arial" w:cs="Arial"/>
                <w:sz w:val="22"/>
                <w:szCs w:val="22"/>
              </w:rPr>
            </w:pPr>
            <w:r w:rsidRPr="00495094">
              <w:rPr>
                <w:rFonts w:ascii="Arial" w:hAnsi="Arial" w:cs="Arial"/>
                <w:sz w:val="22"/>
                <w:szCs w:val="22"/>
              </w:rPr>
              <w:t>31,662,362</w:t>
            </w:r>
          </w:p>
        </w:tc>
        <w:tc>
          <w:tcPr>
            <w:tcW w:w="1794" w:type="dxa"/>
            <w:tcBorders>
              <w:top w:val="nil"/>
              <w:left w:val="nil"/>
              <w:bottom w:val="nil"/>
              <w:right w:val="nil"/>
            </w:tcBorders>
            <w:shd w:val="clear" w:color="auto" w:fill="auto"/>
            <w:vAlign w:val="center"/>
          </w:tcPr>
          <w:p w14:paraId="7DD1AEF8" w14:textId="2459D8B7" w:rsidR="007F4547" w:rsidRPr="00495094" w:rsidRDefault="00A63C12" w:rsidP="007F4547">
            <w:pPr>
              <w:jc w:val="right"/>
              <w:rPr>
                <w:rFonts w:ascii="Arial" w:hAnsi="Arial" w:cs="Arial"/>
                <w:sz w:val="22"/>
                <w:szCs w:val="22"/>
              </w:rPr>
            </w:pPr>
            <w:r w:rsidRPr="00495094">
              <w:rPr>
                <w:rFonts w:ascii="Arial" w:hAnsi="Arial" w:cs="Arial"/>
                <w:sz w:val="22"/>
                <w:szCs w:val="22"/>
              </w:rPr>
              <w:t>25,156,645</w:t>
            </w:r>
          </w:p>
        </w:tc>
      </w:tr>
      <w:tr w:rsidR="00495094" w:rsidRPr="00495094" w14:paraId="38427719" w14:textId="77777777" w:rsidTr="00C67704">
        <w:tc>
          <w:tcPr>
            <w:tcW w:w="4145" w:type="dxa"/>
            <w:tcBorders>
              <w:top w:val="nil"/>
              <w:left w:val="nil"/>
              <w:bottom w:val="single" w:sz="4" w:space="0" w:color="auto"/>
              <w:right w:val="nil"/>
            </w:tcBorders>
            <w:shd w:val="clear" w:color="auto" w:fill="auto"/>
            <w:vAlign w:val="center"/>
          </w:tcPr>
          <w:p w14:paraId="58B62925" w14:textId="008AC977" w:rsidR="007F4547" w:rsidRPr="00495094" w:rsidRDefault="007F4547" w:rsidP="007F4547">
            <w:pPr>
              <w:ind w:left="318" w:hanging="318"/>
              <w:rPr>
                <w:rFonts w:ascii="Arial" w:hAnsi="Arial" w:cs="Arial"/>
                <w:sz w:val="22"/>
                <w:szCs w:val="22"/>
              </w:rPr>
            </w:pPr>
            <w:r w:rsidRPr="00495094">
              <w:rPr>
                <w:rFonts w:ascii="Arial" w:hAnsi="Arial" w:cs="Arial"/>
                <w:sz w:val="22"/>
                <w:szCs w:val="22"/>
              </w:rPr>
              <w:t xml:space="preserve">Loans and receivables arising from RA/CA/PR/SLB </w:t>
            </w:r>
          </w:p>
        </w:tc>
        <w:tc>
          <w:tcPr>
            <w:tcW w:w="708" w:type="dxa"/>
            <w:tcBorders>
              <w:top w:val="nil"/>
              <w:left w:val="nil"/>
              <w:bottom w:val="single" w:sz="4" w:space="0" w:color="auto"/>
              <w:right w:val="nil"/>
            </w:tcBorders>
            <w:vAlign w:val="bottom"/>
          </w:tcPr>
          <w:p w14:paraId="7201DD5D" w14:textId="523639FF" w:rsidR="007F4547" w:rsidRPr="00495094" w:rsidRDefault="007F4547" w:rsidP="007F4547">
            <w:pPr>
              <w:jc w:val="center"/>
              <w:rPr>
                <w:rFonts w:ascii="Arial" w:hAnsi="Arial" w:cs="Arial"/>
                <w:sz w:val="22"/>
                <w:szCs w:val="22"/>
              </w:rPr>
            </w:pPr>
            <w:r w:rsidRPr="00495094">
              <w:rPr>
                <w:rFonts w:ascii="Arial" w:hAnsi="Arial" w:cs="Arial"/>
                <w:sz w:val="22"/>
                <w:szCs w:val="22"/>
              </w:rPr>
              <w:t>8</w:t>
            </w:r>
          </w:p>
        </w:tc>
        <w:tc>
          <w:tcPr>
            <w:tcW w:w="1599" w:type="dxa"/>
            <w:tcBorders>
              <w:top w:val="nil"/>
              <w:left w:val="nil"/>
              <w:bottom w:val="single" w:sz="4" w:space="0" w:color="auto"/>
              <w:right w:val="nil"/>
            </w:tcBorders>
            <w:shd w:val="clear" w:color="auto" w:fill="auto"/>
            <w:vAlign w:val="bottom"/>
          </w:tcPr>
          <w:p w14:paraId="5F554FF9" w14:textId="4F1EA69F" w:rsidR="007F4547" w:rsidRPr="00495094" w:rsidRDefault="00A63C12" w:rsidP="007F4547">
            <w:pPr>
              <w:jc w:val="right"/>
              <w:rPr>
                <w:rFonts w:ascii="Arial" w:hAnsi="Arial" w:cs="Arial"/>
                <w:sz w:val="22"/>
                <w:szCs w:val="22"/>
              </w:rPr>
            </w:pPr>
            <w:r w:rsidRPr="00495094">
              <w:rPr>
                <w:rFonts w:ascii="Arial" w:hAnsi="Arial" w:cs="Arial"/>
                <w:sz w:val="22"/>
                <w:szCs w:val="22"/>
              </w:rPr>
              <w:t>88,943,598</w:t>
            </w:r>
          </w:p>
        </w:tc>
        <w:tc>
          <w:tcPr>
            <w:tcW w:w="1794" w:type="dxa"/>
            <w:tcBorders>
              <w:top w:val="nil"/>
              <w:left w:val="nil"/>
              <w:bottom w:val="single" w:sz="4" w:space="0" w:color="auto"/>
              <w:right w:val="nil"/>
            </w:tcBorders>
            <w:shd w:val="clear" w:color="auto" w:fill="auto"/>
            <w:vAlign w:val="bottom"/>
          </w:tcPr>
          <w:p w14:paraId="66E9F3FF" w14:textId="3667162B" w:rsidR="007F4547" w:rsidRPr="00495094" w:rsidRDefault="00A63C12" w:rsidP="007F4547">
            <w:pPr>
              <w:jc w:val="right"/>
              <w:rPr>
                <w:rFonts w:ascii="Arial" w:hAnsi="Arial" w:cs="Arial"/>
                <w:sz w:val="22"/>
                <w:szCs w:val="22"/>
              </w:rPr>
            </w:pPr>
            <w:r w:rsidRPr="00495094">
              <w:rPr>
                <w:rFonts w:ascii="Arial" w:hAnsi="Arial" w:cs="Arial"/>
                <w:sz w:val="22"/>
                <w:szCs w:val="22"/>
              </w:rPr>
              <w:t>375,840,333</w:t>
            </w:r>
          </w:p>
        </w:tc>
      </w:tr>
      <w:tr w:rsidR="00495094" w:rsidRPr="00495094" w14:paraId="4912D504" w14:textId="77777777" w:rsidTr="00C67704">
        <w:tc>
          <w:tcPr>
            <w:tcW w:w="4145" w:type="dxa"/>
            <w:tcBorders>
              <w:top w:val="single" w:sz="4" w:space="0" w:color="auto"/>
              <w:left w:val="nil"/>
              <w:bottom w:val="double" w:sz="4" w:space="0" w:color="auto"/>
              <w:right w:val="nil"/>
            </w:tcBorders>
            <w:shd w:val="clear" w:color="auto" w:fill="auto"/>
            <w:vAlign w:val="center"/>
          </w:tcPr>
          <w:p w14:paraId="68DFBE6A" w14:textId="77777777" w:rsidR="007F4547" w:rsidRPr="00495094" w:rsidRDefault="007F4547" w:rsidP="007F4547">
            <w:pPr>
              <w:rPr>
                <w:rFonts w:ascii="Arial" w:hAnsi="Arial" w:cs="Arial"/>
                <w:sz w:val="22"/>
                <w:szCs w:val="22"/>
              </w:rPr>
            </w:pPr>
            <w:r w:rsidRPr="00495094">
              <w:rPr>
                <w:rFonts w:ascii="Arial" w:hAnsi="Arial" w:cs="Arial"/>
                <w:sz w:val="22"/>
                <w:szCs w:val="22"/>
              </w:rPr>
              <w:t> </w:t>
            </w:r>
          </w:p>
        </w:tc>
        <w:tc>
          <w:tcPr>
            <w:tcW w:w="708" w:type="dxa"/>
            <w:tcBorders>
              <w:top w:val="single" w:sz="4" w:space="0" w:color="auto"/>
              <w:left w:val="nil"/>
              <w:bottom w:val="double" w:sz="4" w:space="0" w:color="auto"/>
              <w:right w:val="nil"/>
            </w:tcBorders>
            <w:vAlign w:val="bottom"/>
          </w:tcPr>
          <w:p w14:paraId="37D62D86" w14:textId="77777777" w:rsidR="007F4547" w:rsidRPr="00495094" w:rsidRDefault="007F4547" w:rsidP="007F4547">
            <w:pPr>
              <w:jc w:val="center"/>
              <w:rPr>
                <w:rFonts w:ascii="Arial" w:hAnsi="Arial" w:cs="Arial"/>
                <w:bCs/>
                <w:sz w:val="22"/>
                <w:szCs w:val="22"/>
              </w:rPr>
            </w:pPr>
          </w:p>
        </w:tc>
        <w:tc>
          <w:tcPr>
            <w:tcW w:w="1599" w:type="dxa"/>
            <w:tcBorders>
              <w:top w:val="single" w:sz="4" w:space="0" w:color="auto"/>
              <w:left w:val="nil"/>
              <w:bottom w:val="double" w:sz="4" w:space="0" w:color="auto"/>
              <w:right w:val="nil"/>
            </w:tcBorders>
            <w:shd w:val="clear" w:color="auto" w:fill="auto"/>
            <w:vAlign w:val="center"/>
          </w:tcPr>
          <w:p w14:paraId="6A98DB85" w14:textId="039B9FD5" w:rsidR="007F4547" w:rsidRPr="00495094" w:rsidRDefault="00A63C12" w:rsidP="007F4547">
            <w:pPr>
              <w:jc w:val="right"/>
              <w:rPr>
                <w:rFonts w:ascii="Arial" w:hAnsi="Arial" w:cs="Arial"/>
                <w:bCs/>
                <w:sz w:val="22"/>
                <w:szCs w:val="22"/>
              </w:rPr>
            </w:pPr>
            <w:r w:rsidRPr="00495094">
              <w:rPr>
                <w:rFonts w:ascii="Arial" w:hAnsi="Arial" w:cs="Arial"/>
                <w:bCs/>
                <w:sz w:val="22"/>
                <w:szCs w:val="22"/>
              </w:rPr>
              <w:t>880,630,272</w:t>
            </w:r>
          </w:p>
        </w:tc>
        <w:tc>
          <w:tcPr>
            <w:tcW w:w="1794" w:type="dxa"/>
            <w:tcBorders>
              <w:top w:val="single" w:sz="4" w:space="0" w:color="auto"/>
              <w:left w:val="nil"/>
              <w:bottom w:val="double" w:sz="4" w:space="0" w:color="auto"/>
              <w:right w:val="nil"/>
            </w:tcBorders>
            <w:shd w:val="clear" w:color="auto" w:fill="auto"/>
            <w:vAlign w:val="center"/>
          </w:tcPr>
          <w:p w14:paraId="052A768E" w14:textId="2D7A9B73" w:rsidR="007F4547" w:rsidRPr="00495094" w:rsidRDefault="00764BC0" w:rsidP="00A63C12">
            <w:pPr>
              <w:jc w:val="right"/>
              <w:rPr>
                <w:rFonts w:ascii="Arial" w:hAnsi="Arial" w:cs="Arial"/>
                <w:bCs/>
                <w:sz w:val="22"/>
                <w:szCs w:val="22"/>
              </w:rPr>
            </w:pPr>
            <w:r w:rsidRPr="00495094">
              <w:rPr>
                <w:rFonts w:ascii="Arial" w:hAnsi="Arial" w:cs="Arial"/>
                <w:bCs/>
                <w:sz w:val="22"/>
                <w:szCs w:val="22"/>
              </w:rPr>
              <w:t>3,</w:t>
            </w:r>
            <w:r w:rsidR="00A63C12" w:rsidRPr="00495094">
              <w:rPr>
                <w:rFonts w:ascii="Arial" w:hAnsi="Arial" w:cs="Arial"/>
                <w:bCs/>
                <w:sz w:val="22"/>
                <w:szCs w:val="22"/>
              </w:rPr>
              <w:t>56</w:t>
            </w:r>
            <w:r w:rsidRPr="00495094">
              <w:rPr>
                <w:rFonts w:ascii="Arial" w:hAnsi="Arial" w:cs="Arial"/>
                <w:bCs/>
                <w:sz w:val="22"/>
                <w:szCs w:val="22"/>
              </w:rPr>
              <w:t>4,</w:t>
            </w:r>
            <w:r w:rsidR="00A63C12" w:rsidRPr="00495094">
              <w:rPr>
                <w:rFonts w:ascii="Arial" w:hAnsi="Arial" w:cs="Arial"/>
                <w:bCs/>
                <w:sz w:val="22"/>
                <w:szCs w:val="22"/>
              </w:rPr>
              <w:t>311</w:t>
            </w:r>
            <w:r w:rsidRPr="00495094">
              <w:rPr>
                <w:rFonts w:ascii="Arial" w:hAnsi="Arial" w:cs="Arial"/>
                <w:bCs/>
                <w:sz w:val="22"/>
                <w:szCs w:val="22"/>
              </w:rPr>
              <w:t>,</w:t>
            </w:r>
            <w:r w:rsidR="00A63C12" w:rsidRPr="00495094">
              <w:rPr>
                <w:rFonts w:ascii="Arial" w:hAnsi="Arial" w:cs="Arial"/>
                <w:bCs/>
                <w:sz w:val="22"/>
                <w:szCs w:val="22"/>
              </w:rPr>
              <w:t>348</w:t>
            </w:r>
          </w:p>
        </w:tc>
      </w:tr>
    </w:tbl>
    <w:p w14:paraId="03602CF3" w14:textId="77777777" w:rsidR="001B74D6" w:rsidRPr="00495094" w:rsidRDefault="001B74D6" w:rsidP="001B74D6">
      <w:pPr>
        <w:ind w:left="720"/>
        <w:rPr>
          <w:rFonts w:ascii="Arial" w:hAnsi="Arial" w:cs="Arial"/>
          <w:sz w:val="22"/>
          <w:szCs w:val="22"/>
        </w:rPr>
      </w:pPr>
    </w:p>
    <w:p w14:paraId="76A191C5" w14:textId="77777777" w:rsidR="00EA4391" w:rsidRPr="00495094" w:rsidRDefault="00EA4391" w:rsidP="008D0E35">
      <w:pPr>
        <w:rPr>
          <w:rFonts w:ascii="Arial" w:hAnsi="Arial" w:cs="Arial"/>
          <w:b/>
          <w:bCs/>
          <w:sz w:val="22"/>
          <w:szCs w:val="22"/>
        </w:rPr>
      </w:pPr>
    </w:p>
    <w:p w14:paraId="3C6CF82A" w14:textId="77777777" w:rsidR="006D37E3" w:rsidRPr="00495094" w:rsidRDefault="00F421AA" w:rsidP="007F4EEC">
      <w:pPr>
        <w:numPr>
          <w:ilvl w:val="0"/>
          <w:numId w:val="12"/>
        </w:numPr>
        <w:ind w:left="720"/>
        <w:rPr>
          <w:rFonts w:ascii="Arial" w:hAnsi="Arial" w:cs="Arial"/>
          <w:b/>
          <w:bCs/>
          <w:sz w:val="22"/>
          <w:szCs w:val="22"/>
        </w:rPr>
      </w:pPr>
      <w:r w:rsidRPr="00495094">
        <w:rPr>
          <w:rFonts w:ascii="Arial" w:hAnsi="Arial" w:cs="Arial"/>
          <w:b/>
          <w:bCs/>
          <w:sz w:val="22"/>
          <w:szCs w:val="22"/>
        </w:rPr>
        <w:t>Due from Bangko Sentral ng Pilipinas</w:t>
      </w:r>
    </w:p>
    <w:p w14:paraId="3B7929D7" w14:textId="77777777" w:rsidR="006D37E3" w:rsidRPr="00495094" w:rsidRDefault="006D37E3" w:rsidP="008D0E35">
      <w:pPr>
        <w:ind w:left="360"/>
        <w:rPr>
          <w:rFonts w:ascii="Arial" w:hAnsi="Arial" w:cs="Arial"/>
          <w:b/>
          <w:bCs/>
          <w:sz w:val="22"/>
          <w:szCs w:val="22"/>
        </w:rPr>
      </w:pPr>
    </w:p>
    <w:p w14:paraId="3246FAFE" w14:textId="4AE4D36C" w:rsidR="006D37E3" w:rsidRPr="00495094" w:rsidRDefault="00406D67" w:rsidP="008D0E35">
      <w:pPr>
        <w:rPr>
          <w:rFonts w:ascii="Arial" w:hAnsi="Arial" w:cs="Arial"/>
          <w:sz w:val="22"/>
          <w:szCs w:val="22"/>
        </w:rPr>
      </w:pPr>
      <w:r w:rsidRPr="00495094">
        <w:rPr>
          <w:rFonts w:ascii="Arial" w:hAnsi="Arial" w:cs="Arial"/>
          <w:sz w:val="22"/>
          <w:szCs w:val="22"/>
        </w:rPr>
        <w:t>This account consists of the following deposits/placement accounts which the bank utilizes in its clearing operations and reserve requirements of the Bangko Sentral ng Pilipinas:</w:t>
      </w:r>
    </w:p>
    <w:p w14:paraId="6817AC9A" w14:textId="77777777" w:rsidR="006D37E3" w:rsidRPr="00495094" w:rsidRDefault="006D37E3" w:rsidP="008D0E35">
      <w:pPr>
        <w:rPr>
          <w:rFonts w:ascii="Arial" w:hAnsi="Arial" w:cs="Arial"/>
          <w:sz w:val="22"/>
          <w:szCs w:val="22"/>
        </w:rPr>
      </w:pPr>
    </w:p>
    <w:tbl>
      <w:tblPr>
        <w:tblW w:w="8233" w:type="dxa"/>
        <w:tblInd w:w="108" w:type="dxa"/>
        <w:tblLook w:val="04A0" w:firstRow="1" w:lastRow="0" w:firstColumn="1" w:lastColumn="0" w:noHBand="0" w:noVBand="1"/>
      </w:tblPr>
      <w:tblGrid>
        <w:gridCol w:w="3861"/>
        <w:gridCol w:w="2268"/>
        <w:gridCol w:w="2104"/>
      </w:tblGrid>
      <w:tr w:rsidR="00495094" w:rsidRPr="00495094" w14:paraId="167C27BC" w14:textId="77777777" w:rsidTr="00C67704">
        <w:tc>
          <w:tcPr>
            <w:tcW w:w="3861" w:type="dxa"/>
            <w:tcBorders>
              <w:top w:val="single" w:sz="4" w:space="0" w:color="auto"/>
              <w:bottom w:val="single" w:sz="4" w:space="0" w:color="auto"/>
            </w:tcBorders>
          </w:tcPr>
          <w:p w14:paraId="6F4570FA" w14:textId="77777777" w:rsidR="006D37E3" w:rsidRPr="00495094" w:rsidRDefault="006D37E3" w:rsidP="008D0E35">
            <w:pPr>
              <w:rPr>
                <w:rFonts w:ascii="Arial" w:hAnsi="Arial" w:cs="Arial"/>
                <w:sz w:val="22"/>
                <w:szCs w:val="22"/>
              </w:rPr>
            </w:pPr>
          </w:p>
        </w:tc>
        <w:tc>
          <w:tcPr>
            <w:tcW w:w="2268" w:type="dxa"/>
            <w:tcBorders>
              <w:top w:val="single" w:sz="4" w:space="0" w:color="auto"/>
              <w:bottom w:val="single" w:sz="4" w:space="0" w:color="auto"/>
            </w:tcBorders>
          </w:tcPr>
          <w:p w14:paraId="560C0946" w14:textId="0BB8ECCE" w:rsidR="006D37E3" w:rsidRPr="00495094" w:rsidRDefault="00D10B25" w:rsidP="008746F5">
            <w:pPr>
              <w:ind w:left="522"/>
              <w:jc w:val="center"/>
              <w:rPr>
                <w:rFonts w:ascii="Arial" w:hAnsi="Arial" w:cs="Arial"/>
                <w:sz w:val="22"/>
                <w:szCs w:val="22"/>
              </w:rPr>
            </w:pPr>
            <w:r w:rsidRPr="00495094">
              <w:rPr>
                <w:rFonts w:ascii="Arial" w:hAnsi="Arial" w:cs="Arial"/>
                <w:b/>
                <w:bCs/>
                <w:sz w:val="22"/>
                <w:szCs w:val="22"/>
              </w:rPr>
              <w:t>2022</w:t>
            </w:r>
          </w:p>
        </w:tc>
        <w:tc>
          <w:tcPr>
            <w:tcW w:w="2104" w:type="dxa"/>
            <w:tcBorders>
              <w:top w:val="single" w:sz="4" w:space="0" w:color="auto"/>
              <w:bottom w:val="single" w:sz="4" w:space="0" w:color="auto"/>
            </w:tcBorders>
          </w:tcPr>
          <w:p w14:paraId="26CCB658" w14:textId="6C39C11A" w:rsidR="006D37E3" w:rsidRPr="00495094" w:rsidRDefault="00764BC0" w:rsidP="00D10B25">
            <w:pPr>
              <w:ind w:left="702"/>
              <w:jc w:val="center"/>
              <w:rPr>
                <w:rFonts w:ascii="Arial" w:hAnsi="Arial" w:cs="Arial"/>
                <w:sz w:val="22"/>
                <w:szCs w:val="22"/>
              </w:rPr>
            </w:pPr>
            <w:r w:rsidRPr="00495094">
              <w:rPr>
                <w:rFonts w:ascii="Arial" w:hAnsi="Arial" w:cs="Arial"/>
                <w:b/>
                <w:bCs/>
                <w:sz w:val="22"/>
                <w:szCs w:val="22"/>
              </w:rPr>
              <w:t>202</w:t>
            </w:r>
            <w:r w:rsidR="00D10B25" w:rsidRPr="00495094">
              <w:rPr>
                <w:rFonts w:ascii="Arial" w:hAnsi="Arial" w:cs="Arial"/>
                <w:b/>
                <w:bCs/>
                <w:sz w:val="22"/>
                <w:szCs w:val="22"/>
              </w:rPr>
              <w:t>1</w:t>
            </w:r>
          </w:p>
        </w:tc>
      </w:tr>
      <w:tr w:rsidR="00495094" w:rsidRPr="00495094" w14:paraId="32744067" w14:textId="77777777" w:rsidTr="00C67704">
        <w:tc>
          <w:tcPr>
            <w:tcW w:w="3861" w:type="dxa"/>
          </w:tcPr>
          <w:p w14:paraId="340D2200" w14:textId="57431A04" w:rsidR="00764BC0" w:rsidRPr="00495094" w:rsidRDefault="00764BC0" w:rsidP="00764BC0">
            <w:pPr>
              <w:spacing w:before="20"/>
              <w:rPr>
                <w:rFonts w:ascii="Arial" w:hAnsi="Arial" w:cs="Arial"/>
                <w:sz w:val="22"/>
                <w:szCs w:val="22"/>
              </w:rPr>
            </w:pPr>
            <w:r w:rsidRPr="00495094">
              <w:rPr>
                <w:rFonts w:ascii="Arial" w:hAnsi="Arial" w:cs="Arial"/>
                <w:sz w:val="22"/>
                <w:szCs w:val="22"/>
              </w:rPr>
              <w:t xml:space="preserve">Term deposit account </w:t>
            </w:r>
          </w:p>
        </w:tc>
        <w:tc>
          <w:tcPr>
            <w:tcW w:w="2268" w:type="dxa"/>
          </w:tcPr>
          <w:p w14:paraId="76DE3782" w14:textId="591C93E9"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397,000,000</w:t>
            </w:r>
          </w:p>
        </w:tc>
        <w:tc>
          <w:tcPr>
            <w:tcW w:w="2104" w:type="dxa"/>
          </w:tcPr>
          <w:p w14:paraId="46046A71" w14:textId="09C6DDFA"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2,000,000,000</w:t>
            </w:r>
          </w:p>
        </w:tc>
      </w:tr>
      <w:tr w:rsidR="00495094" w:rsidRPr="00495094" w14:paraId="29F1672E" w14:textId="77777777" w:rsidTr="00C67704">
        <w:tc>
          <w:tcPr>
            <w:tcW w:w="3861" w:type="dxa"/>
          </w:tcPr>
          <w:p w14:paraId="30D7709B" w14:textId="77777777" w:rsidR="00764BC0" w:rsidRPr="00495094" w:rsidRDefault="00764BC0" w:rsidP="00764BC0">
            <w:pPr>
              <w:spacing w:before="20"/>
              <w:rPr>
                <w:rFonts w:ascii="Arial" w:hAnsi="Arial" w:cs="Arial"/>
                <w:sz w:val="22"/>
                <w:szCs w:val="22"/>
              </w:rPr>
            </w:pPr>
            <w:r w:rsidRPr="00495094">
              <w:rPr>
                <w:rFonts w:ascii="Arial" w:hAnsi="Arial" w:cs="Arial"/>
                <w:sz w:val="22"/>
                <w:szCs w:val="22"/>
              </w:rPr>
              <w:t>Demand deposit account</w:t>
            </w:r>
          </w:p>
        </w:tc>
        <w:tc>
          <w:tcPr>
            <w:tcW w:w="2268" w:type="dxa"/>
          </w:tcPr>
          <w:p w14:paraId="5407C532" w14:textId="51A46D68"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244,024,312</w:t>
            </w:r>
          </w:p>
        </w:tc>
        <w:tc>
          <w:tcPr>
            <w:tcW w:w="2104" w:type="dxa"/>
          </w:tcPr>
          <w:p w14:paraId="4924F5AA" w14:textId="25A3305C" w:rsidR="00764BC0" w:rsidRPr="00495094" w:rsidRDefault="00D10B25" w:rsidP="00D10B25">
            <w:pPr>
              <w:spacing w:before="20"/>
              <w:jc w:val="right"/>
              <w:rPr>
                <w:rFonts w:ascii="Arial" w:hAnsi="Arial" w:cs="Arial"/>
                <w:sz w:val="22"/>
                <w:szCs w:val="22"/>
              </w:rPr>
            </w:pPr>
            <w:r w:rsidRPr="00495094">
              <w:rPr>
                <w:rFonts w:ascii="Arial" w:hAnsi="Arial" w:cs="Arial"/>
                <w:sz w:val="22"/>
                <w:szCs w:val="22"/>
              </w:rPr>
              <w:t>8</w:t>
            </w:r>
            <w:r w:rsidR="00764BC0" w:rsidRPr="00495094">
              <w:rPr>
                <w:rFonts w:ascii="Arial" w:hAnsi="Arial" w:cs="Arial"/>
                <w:sz w:val="22"/>
                <w:szCs w:val="22"/>
              </w:rPr>
              <w:t>8,</w:t>
            </w:r>
            <w:r w:rsidRPr="00495094">
              <w:rPr>
                <w:rFonts w:ascii="Arial" w:hAnsi="Arial" w:cs="Arial"/>
                <w:sz w:val="22"/>
                <w:szCs w:val="22"/>
              </w:rPr>
              <w:t>314</w:t>
            </w:r>
            <w:r w:rsidR="00764BC0" w:rsidRPr="00495094">
              <w:rPr>
                <w:rFonts w:ascii="Arial" w:hAnsi="Arial" w:cs="Arial"/>
                <w:sz w:val="22"/>
                <w:szCs w:val="22"/>
              </w:rPr>
              <w:t>,</w:t>
            </w:r>
            <w:r w:rsidRPr="00495094">
              <w:rPr>
                <w:rFonts w:ascii="Arial" w:hAnsi="Arial" w:cs="Arial"/>
                <w:sz w:val="22"/>
                <w:szCs w:val="22"/>
              </w:rPr>
              <w:t>370</w:t>
            </w:r>
          </w:p>
        </w:tc>
      </w:tr>
      <w:tr w:rsidR="00495094" w:rsidRPr="00495094" w14:paraId="1AD4921F" w14:textId="77777777" w:rsidTr="00C67704">
        <w:tc>
          <w:tcPr>
            <w:tcW w:w="3861" w:type="dxa"/>
            <w:tcBorders>
              <w:bottom w:val="single" w:sz="4" w:space="0" w:color="auto"/>
            </w:tcBorders>
          </w:tcPr>
          <w:p w14:paraId="2D10232F" w14:textId="77777777" w:rsidR="00764BC0" w:rsidRPr="00495094" w:rsidRDefault="00764BC0" w:rsidP="00764BC0">
            <w:pPr>
              <w:spacing w:before="20"/>
              <w:rPr>
                <w:rFonts w:ascii="Arial" w:hAnsi="Arial" w:cs="Arial"/>
                <w:sz w:val="22"/>
                <w:szCs w:val="22"/>
              </w:rPr>
            </w:pPr>
            <w:r w:rsidRPr="00495094">
              <w:rPr>
                <w:rFonts w:ascii="Arial" w:hAnsi="Arial" w:cs="Arial"/>
                <w:sz w:val="22"/>
                <w:szCs w:val="22"/>
              </w:rPr>
              <w:t>Overnight deposit account</w:t>
            </w:r>
          </w:p>
        </w:tc>
        <w:tc>
          <w:tcPr>
            <w:tcW w:w="2268" w:type="dxa"/>
            <w:tcBorders>
              <w:bottom w:val="single" w:sz="4" w:space="0" w:color="auto"/>
            </w:tcBorders>
          </w:tcPr>
          <w:p w14:paraId="5F2282E3" w14:textId="69AE8D2E"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119,000,000</w:t>
            </w:r>
          </w:p>
        </w:tc>
        <w:tc>
          <w:tcPr>
            <w:tcW w:w="2104" w:type="dxa"/>
            <w:tcBorders>
              <w:bottom w:val="single" w:sz="4" w:space="0" w:color="auto"/>
            </w:tcBorders>
          </w:tcPr>
          <w:p w14:paraId="4A041CE0" w14:textId="144BCEC0"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1,075,000,000</w:t>
            </w:r>
          </w:p>
        </w:tc>
      </w:tr>
      <w:tr w:rsidR="00495094" w:rsidRPr="00495094" w14:paraId="7B493AF2" w14:textId="77777777" w:rsidTr="00C67704">
        <w:tc>
          <w:tcPr>
            <w:tcW w:w="3861" w:type="dxa"/>
            <w:tcBorders>
              <w:top w:val="single" w:sz="4" w:space="0" w:color="auto"/>
              <w:bottom w:val="double" w:sz="4" w:space="0" w:color="auto"/>
            </w:tcBorders>
          </w:tcPr>
          <w:p w14:paraId="7BB8010E" w14:textId="77777777" w:rsidR="00764BC0" w:rsidRPr="00495094" w:rsidRDefault="00764BC0" w:rsidP="00764BC0">
            <w:pPr>
              <w:spacing w:before="20"/>
              <w:rPr>
                <w:rFonts w:ascii="Arial" w:hAnsi="Arial" w:cs="Arial"/>
                <w:sz w:val="22"/>
                <w:szCs w:val="22"/>
              </w:rPr>
            </w:pPr>
          </w:p>
        </w:tc>
        <w:tc>
          <w:tcPr>
            <w:tcW w:w="2268" w:type="dxa"/>
            <w:tcBorders>
              <w:top w:val="single" w:sz="4" w:space="0" w:color="auto"/>
              <w:bottom w:val="double" w:sz="4" w:space="0" w:color="auto"/>
            </w:tcBorders>
          </w:tcPr>
          <w:p w14:paraId="5D0D7204" w14:textId="478745EE"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760,024,312</w:t>
            </w:r>
          </w:p>
        </w:tc>
        <w:tc>
          <w:tcPr>
            <w:tcW w:w="2104" w:type="dxa"/>
            <w:tcBorders>
              <w:top w:val="single" w:sz="4" w:space="0" w:color="auto"/>
              <w:bottom w:val="double" w:sz="4" w:space="0" w:color="auto"/>
            </w:tcBorders>
          </w:tcPr>
          <w:p w14:paraId="67DBEE13" w14:textId="39FF1282" w:rsidR="00764BC0" w:rsidRPr="00495094" w:rsidRDefault="00D10B25" w:rsidP="00764BC0">
            <w:pPr>
              <w:spacing w:before="20"/>
              <w:jc w:val="right"/>
              <w:rPr>
                <w:rFonts w:ascii="Arial" w:hAnsi="Arial" w:cs="Arial"/>
                <w:sz w:val="22"/>
                <w:szCs w:val="22"/>
              </w:rPr>
            </w:pPr>
            <w:r w:rsidRPr="00495094">
              <w:rPr>
                <w:rFonts w:ascii="Arial" w:hAnsi="Arial" w:cs="Arial"/>
                <w:sz w:val="22"/>
                <w:szCs w:val="22"/>
              </w:rPr>
              <w:t>3,163,314,370</w:t>
            </w:r>
          </w:p>
        </w:tc>
      </w:tr>
    </w:tbl>
    <w:p w14:paraId="7AF81624" w14:textId="1A764DC7" w:rsidR="00522914" w:rsidRPr="00495094" w:rsidRDefault="00522914">
      <w:pPr>
        <w:rPr>
          <w:rFonts w:ascii="Arial" w:hAnsi="Arial" w:cs="Arial"/>
          <w:sz w:val="22"/>
          <w:szCs w:val="22"/>
        </w:rPr>
      </w:pPr>
    </w:p>
    <w:p w14:paraId="479297F2" w14:textId="77777777" w:rsidR="00522914" w:rsidRPr="00495094" w:rsidRDefault="00522914" w:rsidP="00216402">
      <w:pPr>
        <w:rPr>
          <w:rFonts w:ascii="Arial" w:hAnsi="Arial" w:cs="Arial"/>
          <w:sz w:val="22"/>
          <w:szCs w:val="22"/>
        </w:rPr>
      </w:pPr>
    </w:p>
    <w:p w14:paraId="66A48FB7" w14:textId="77777777" w:rsidR="006D37E3" w:rsidRPr="00495094" w:rsidRDefault="00B34369" w:rsidP="007F4EEC">
      <w:pPr>
        <w:numPr>
          <w:ilvl w:val="0"/>
          <w:numId w:val="12"/>
        </w:numPr>
        <w:ind w:left="720"/>
        <w:rPr>
          <w:rFonts w:ascii="Arial" w:hAnsi="Arial" w:cs="Arial"/>
          <w:b/>
          <w:bCs/>
          <w:sz w:val="22"/>
          <w:szCs w:val="22"/>
        </w:rPr>
      </w:pPr>
      <w:r w:rsidRPr="00495094">
        <w:rPr>
          <w:rFonts w:ascii="Arial" w:hAnsi="Arial" w:cs="Arial"/>
          <w:b/>
          <w:bCs/>
          <w:sz w:val="22"/>
          <w:szCs w:val="22"/>
        </w:rPr>
        <w:t>Due from Other Banks</w:t>
      </w:r>
    </w:p>
    <w:p w14:paraId="522A3F8A" w14:textId="77777777" w:rsidR="006D37E3" w:rsidRPr="00495094" w:rsidRDefault="006D37E3" w:rsidP="008D0E35">
      <w:pPr>
        <w:pStyle w:val="BodyTextIndent2"/>
        <w:rPr>
          <w:rFonts w:ascii="Arial" w:hAnsi="Arial" w:cs="Arial"/>
          <w:sz w:val="22"/>
          <w:szCs w:val="22"/>
        </w:rPr>
      </w:pPr>
    </w:p>
    <w:p w14:paraId="39D465BA" w14:textId="06A7A02F" w:rsidR="006D37E3" w:rsidRPr="00495094" w:rsidRDefault="006D37E3" w:rsidP="008D0E35">
      <w:pPr>
        <w:pStyle w:val="BodyTextIndent2"/>
        <w:ind w:left="0"/>
        <w:rPr>
          <w:rFonts w:ascii="Arial" w:hAnsi="Arial" w:cs="Arial"/>
          <w:sz w:val="22"/>
          <w:szCs w:val="22"/>
        </w:rPr>
      </w:pPr>
      <w:r w:rsidRPr="00495094">
        <w:rPr>
          <w:rFonts w:ascii="Arial" w:hAnsi="Arial" w:cs="Arial"/>
          <w:sz w:val="22"/>
          <w:szCs w:val="22"/>
        </w:rPr>
        <w:t xml:space="preserve">This account represents demand deposit account, short-term investments in special savings deposits and premium savings account deposited with the </w:t>
      </w:r>
      <w:r w:rsidR="00DA5F6D" w:rsidRPr="00495094">
        <w:rPr>
          <w:rFonts w:ascii="Arial" w:hAnsi="Arial" w:cs="Arial"/>
          <w:sz w:val="22"/>
          <w:szCs w:val="22"/>
        </w:rPr>
        <w:t>P</w:t>
      </w:r>
      <w:r w:rsidR="003A596E" w:rsidRPr="00495094">
        <w:rPr>
          <w:rFonts w:ascii="Arial" w:hAnsi="Arial" w:cs="Arial"/>
          <w:sz w:val="22"/>
          <w:szCs w:val="22"/>
        </w:rPr>
        <w:t xml:space="preserve">arent </w:t>
      </w:r>
      <w:r w:rsidR="00DA5F6D" w:rsidRPr="00495094">
        <w:rPr>
          <w:rFonts w:ascii="Arial" w:hAnsi="Arial" w:cs="Arial"/>
          <w:sz w:val="22"/>
          <w:szCs w:val="22"/>
        </w:rPr>
        <w:t>B</w:t>
      </w:r>
      <w:r w:rsidR="003A596E" w:rsidRPr="00495094">
        <w:rPr>
          <w:rFonts w:ascii="Arial" w:hAnsi="Arial" w:cs="Arial"/>
          <w:sz w:val="22"/>
          <w:szCs w:val="22"/>
        </w:rPr>
        <w:t>ank</w:t>
      </w:r>
      <w:r w:rsidRPr="00495094">
        <w:rPr>
          <w:rFonts w:ascii="Arial" w:hAnsi="Arial" w:cs="Arial"/>
          <w:sz w:val="22"/>
          <w:szCs w:val="22"/>
        </w:rPr>
        <w:t>:</w:t>
      </w:r>
    </w:p>
    <w:p w14:paraId="244F6D2F" w14:textId="77777777" w:rsidR="006D37E3" w:rsidRPr="00495094" w:rsidRDefault="006D37E3" w:rsidP="008D0E35">
      <w:pPr>
        <w:pStyle w:val="BodyTextIndent2"/>
        <w:ind w:left="0"/>
        <w:rPr>
          <w:rFonts w:ascii="Arial" w:hAnsi="Arial" w:cs="Arial"/>
          <w:sz w:val="22"/>
          <w:szCs w:val="22"/>
        </w:rPr>
      </w:pPr>
    </w:p>
    <w:tbl>
      <w:tblPr>
        <w:tblW w:w="8114" w:type="dxa"/>
        <w:tblInd w:w="108" w:type="dxa"/>
        <w:tblLook w:val="04A0" w:firstRow="1" w:lastRow="0" w:firstColumn="1" w:lastColumn="0" w:noHBand="0" w:noVBand="1"/>
      </w:tblPr>
      <w:tblGrid>
        <w:gridCol w:w="4428"/>
        <w:gridCol w:w="1890"/>
        <w:gridCol w:w="1796"/>
      </w:tblGrid>
      <w:tr w:rsidR="00495094" w:rsidRPr="00495094" w14:paraId="07D98E14" w14:textId="77777777" w:rsidTr="00C67704">
        <w:tc>
          <w:tcPr>
            <w:tcW w:w="4428" w:type="dxa"/>
            <w:tcBorders>
              <w:top w:val="single" w:sz="4" w:space="0" w:color="auto"/>
              <w:bottom w:val="single" w:sz="4" w:space="0" w:color="auto"/>
            </w:tcBorders>
          </w:tcPr>
          <w:p w14:paraId="161C6B09" w14:textId="77777777" w:rsidR="00F07D58" w:rsidRPr="00495094" w:rsidRDefault="00F07D58" w:rsidP="00F07D58">
            <w:pPr>
              <w:ind w:right="252"/>
              <w:rPr>
                <w:rFonts w:ascii="Arial" w:hAnsi="Arial" w:cs="Arial"/>
                <w:sz w:val="22"/>
                <w:szCs w:val="22"/>
              </w:rPr>
            </w:pPr>
          </w:p>
        </w:tc>
        <w:tc>
          <w:tcPr>
            <w:tcW w:w="1890" w:type="dxa"/>
            <w:tcBorders>
              <w:top w:val="single" w:sz="4" w:space="0" w:color="auto"/>
              <w:bottom w:val="single" w:sz="4" w:space="0" w:color="auto"/>
            </w:tcBorders>
          </w:tcPr>
          <w:p w14:paraId="5B42EC45" w14:textId="0C312194" w:rsidR="00F07D58" w:rsidRPr="00495094" w:rsidRDefault="00D10B25" w:rsidP="00F07D58">
            <w:pPr>
              <w:ind w:left="522"/>
              <w:jc w:val="center"/>
              <w:rPr>
                <w:rFonts w:ascii="Arial" w:hAnsi="Arial" w:cs="Arial"/>
                <w:sz w:val="22"/>
                <w:szCs w:val="22"/>
              </w:rPr>
            </w:pPr>
            <w:r w:rsidRPr="00495094">
              <w:rPr>
                <w:rFonts w:ascii="Arial" w:hAnsi="Arial" w:cs="Arial"/>
                <w:b/>
                <w:bCs/>
                <w:sz w:val="22"/>
                <w:szCs w:val="22"/>
              </w:rPr>
              <w:t>2022</w:t>
            </w:r>
          </w:p>
        </w:tc>
        <w:tc>
          <w:tcPr>
            <w:tcW w:w="1796" w:type="dxa"/>
            <w:tcBorders>
              <w:top w:val="single" w:sz="4" w:space="0" w:color="auto"/>
              <w:bottom w:val="single" w:sz="4" w:space="0" w:color="auto"/>
            </w:tcBorders>
          </w:tcPr>
          <w:p w14:paraId="316EEF28" w14:textId="6D78243C" w:rsidR="00131040" w:rsidRPr="00495094" w:rsidRDefault="00D10B25" w:rsidP="00F07D58">
            <w:pPr>
              <w:ind w:left="522"/>
              <w:jc w:val="center"/>
              <w:rPr>
                <w:rFonts w:ascii="Arial" w:hAnsi="Arial" w:cs="Arial"/>
                <w:b/>
                <w:bCs/>
                <w:sz w:val="22"/>
                <w:szCs w:val="22"/>
              </w:rPr>
            </w:pPr>
            <w:r w:rsidRPr="00495094">
              <w:rPr>
                <w:rFonts w:ascii="Arial" w:hAnsi="Arial" w:cs="Arial"/>
                <w:b/>
                <w:bCs/>
                <w:sz w:val="22"/>
                <w:szCs w:val="22"/>
              </w:rPr>
              <w:t>2021</w:t>
            </w:r>
          </w:p>
        </w:tc>
      </w:tr>
      <w:tr w:rsidR="00495094" w:rsidRPr="00495094" w14:paraId="00B37F0F" w14:textId="77777777" w:rsidTr="00C67704">
        <w:tc>
          <w:tcPr>
            <w:tcW w:w="4428" w:type="dxa"/>
            <w:tcBorders>
              <w:top w:val="single" w:sz="4" w:space="0" w:color="auto"/>
            </w:tcBorders>
          </w:tcPr>
          <w:p w14:paraId="402C3FC0" w14:textId="6AF6BBE5" w:rsidR="000610A9" w:rsidRPr="00495094" w:rsidRDefault="006714CC" w:rsidP="000610A9">
            <w:pPr>
              <w:rPr>
                <w:rFonts w:ascii="Arial" w:hAnsi="Arial" w:cs="Arial"/>
                <w:sz w:val="22"/>
                <w:szCs w:val="22"/>
              </w:rPr>
            </w:pPr>
            <w:r w:rsidRPr="00495094">
              <w:rPr>
                <w:rFonts w:ascii="Arial" w:hAnsi="Arial" w:cs="Arial"/>
                <w:sz w:val="22"/>
                <w:szCs w:val="22"/>
              </w:rPr>
              <w:t>Land Bank</w:t>
            </w:r>
            <w:r w:rsidR="000610A9" w:rsidRPr="00495094">
              <w:rPr>
                <w:rFonts w:ascii="Arial" w:hAnsi="Arial" w:cs="Arial"/>
                <w:sz w:val="22"/>
                <w:szCs w:val="22"/>
              </w:rPr>
              <w:t xml:space="preserve"> of the Philippines </w:t>
            </w:r>
          </w:p>
        </w:tc>
        <w:tc>
          <w:tcPr>
            <w:tcW w:w="1890" w:type="dxa"/>
            <w:tcBorders>
              <w:top w:val="single" w:sz="4" w:space="0" w:color="auto"/>
              <w:left w:val="nil"/>
              <w:bottom w:val="nil"/>
              <w:right w:val="nil"/>
            </w:tcBorders>
            <w:shd w:val="clear" w:color="auto" w:fill="auto"/>
            <w:vAlign w:val="center"/>
          </w:tcPr>
          <w:p w14:paraId="7C968236" w14:textId="302C727A" w:rsidR="000610A9" w:rsidRPr="00495094" w:rsidRDefault="00D10B25" w:rsidP="000610A9">
            <w:pPr>
              <w:jc w:val="right"/>
              <w:rPr>
                <w:rFonts w:ascii="Arial" w:hAnsi="Arial" w:cs="Arial"/>
                <w:sz w:val="22"/>
                <w:szCs w:val="22"/>
                <w:lang w:val="en-PH" w:eastAsia="en-PH"/>
              </w:rPr>
            </w:pPr>
            <w:r w:rsidRPr="00495094">
              <w:rPr>
                <w:rFonts w:ascii="Arial" w:hAnsi="Arial" w:cs="Arial"/>
                <w:sz w:val="22"/>
                <w:szCs w:val="22"/>
                <w:lang w:val="en-PH" w:eastAsia="en-PH"/>
              </w:rPr>
              <w:t>31,662,362</w:t>
            </w:r>
          </w:p>
        </w:tc>
        <w:tc>
          <w:tcPr>
            <w:tcW w:w="1796" w:type="dxa"/>
            <w:tcBorders>
              <w:top w:val="single" w:sz="4" w:space="0" w:color="auto"/>
              <w:left w:val="nil"/>
              <w:bottom w:val="nil"/>
              <w:right w:val="nil"/>
            </w:tcBorders>
            <w:shd w:val="clear" w:color="auto" w:fill="auto"/>
            <w:vAlign w:val="center"/>
          </w:tcPr>
          <w:p w14:paraId="350E4D2D" w14:textId="4421AA9D" w:rsidR="000610A9" w:rsidRPr="00495094" w:rsidRDefault="00D10B25" w:rsidP="000610A9">
            <w:pPr>
              <w:jc w:val="right"/>
              <w:rPr>
                <w:rFonts w:ascii="Arial" w:hAnsi="Arial" w:cs="Arial"/>
                <w:sz w:val="22"/>
                <w:szCs w:val="22"/>
                <w:lang w:val="en-PH" w:eastAsia="en-PH"/>
              </w:rPr>
            </w:pPr>
            <w:r w:rsidRPr="00495094">
              <w:rPr>
                <w:rFonts w:ascii="Arial" w:hAnsi="Arial" w:cs="Arial"/>
                <w:sz w:val="22"/>
                <w:szCs w:val="22"/>
                <w:lang w:val="en-PH" w:eastAsia="en-PH"/>
              </w:rPr>
              <w:t>25,156,645</w:t>
            </w:r>
          </w:p>
        </w:tc>
      </w:tr>
    </w:tbl>
    <w:p w14:paraId="444BD876" w14:textId="77777777" w:rsidR="00522914" w:rsidRPr="00495094" w:rsidRDefault="00522914" w:rsidP="00216402">
      <w:pPr>
        <w:ind w:left="720"/>
        <w:rPr>
          <w:rFonts w:ascii="Arial" w:hAnsi="Arial" w:cs="Arial"/>
          <w:b/>
          <w:sz w:val="22"/>
          <w:szCs w:val="22"/>
        </w:rPr>
      </w:pPr>
    </w:p>
    <w:p w14:paraId="410CCD1A" w14:textId="77777777" w:rsidR="00522914" w:rsidRPr="00495094" w:rsidRDefault="00522914" w:rsidP="00216402">
      <w:pPr>
        <w:ind w:left="720"/>
        <w:rPr>
          <w:rFonts w:ascii="Arial" w:hAnsi="Arial" w:cs="Arial"/>
          <w:b/>
          <w:sz w:val="22"/>
          <w:szCs w:val="22"/>
        </w:rPr>
      </w:pPr>
    </w:p>
    <w:p w14:paraId="2877F1DA" w14:textId="2CBBF0AC" w:rsidR="00EF7689" w:rsidRPr="00495094" w:rsidRDefault="00EF7689" w:rsidP="007F4EEC">
      <w:pPr>
        <w:numPr>
          <w:ilvl w:val="0"/>
          <w:numId w:val="12"/>
        </w:numPr>
        <w:ind w:left="720"/>
        <w:rPr>
          <w:rFonts w:ascii="Arial" w:hAnsi="Arial" w:cs="Arial"/>
          <w:b/>
          <w:sz w:val="22"/>
          <w:szCs w:val="22"/>
        </w:rPr>
      </w:pPr>
      <w:r w:rsidRPr="00495094">
        <w:rPr>
          <w:rFonts w:ascii="Arial" w:hAnsi="Arial" w:cs="Arial"/>
          <w:b/>
          <w:sz w:val="22"/>
          <w:szCs w:val="22"/>
        </w:rPr>
        <w:lastRenderedPageBreak/>
        <w:t>Loans and Receivables Arising from Repurchase Agreements (RA)/ Certificates of Assignment (CA)/Participation with Recourse (PR)/ Securities Lending and Borrowing (SLB)</w:t>
      </w:r>
    </w:p>
    <w:p w14:paraId="1C85F3FE" w14:textId="77777777" w:rsidR="00EF7689" w:rsidRPr="00495094" w:rsidRDefault="00EF7689" w:rsidP="00EF7689">
      <w:pPr>
        <w:rPr>
          <w:rFonts w:ascii="Arial" w:hAnsi="Arial" w:cs="Arial"/>
          <w:b/>
          <w:sz w:val="22"/>
          <w:szCs w:val="22"/>
          <w:u w:val="single"/>
        </w:rPr>
      </w:pPr>
    </w:p>
    <w:p w14:paraId="59EE08CD" w14:textId="4B6F8EF4" w:rsidR="00EF7689" w:rsidRPr="00495094" w:rsidRDefault="00EF7689" w:rsidP="00EF7689">
      <w:pPr>
        <w:rPr>
          <w:rFonts w:ascii="Arial" w:hAnsi="Arial" w:cs="Arial"/>
          <w:sz w:val="22"/>
          <w:szCs w:val="22"/>
        </w:rPr>
      </w:pPr>
      <w:r w:rsidRPr="00495094">
        <w:rPr>
          <w:rFonts w:ascii="Arial" w:hAnsi="Arial" w:cs="Arial"/>
          <w:sz w:val="22"/>
          <w:szCs w:val="22"/>
        </w:rPr>
        <w:t>This pertains to loans arising from repurchase agreement w</w:t>
      </w:r>
      <w:r w:rsidR="00B37E32" w:rsidRPr="00495094">
        <w:rPr>
          <w:rFonts w:ascii="Arial" w:hAnsi="Arial" w:cs="Arial"/>
          <w:sz w:val="22"/>
          <w:szCs w:val="22"/>
        </w:rPr>
        <w:t xml:space="preserve">ith Bangko Sentral ng Pilipinas amounting to </w:t>
      </w:r>
      <w:r w:rsidR="00D10B25" w:rsidRPr="00495094">
        <w:rPr>
          <w:rFonts w:ascii="Arial" w:hAnsi="Arial" w:cs="Arial"/>
          <w:sz w:val="22"/>
          <w:szCs w:val="22"/>
        </w:rPr>
        <w:t>88</w:t>
      </w:r>
      <w:r w:rsidR="009F75A1" w:rsidRPr="00495094">
        <w:rPr>
          <w:rFonts w:ascii="Arial" w:hAnsi="Arial" w:cs="Arial"/>
          <w:sz w:val="22"/>
          <w:szCs w:val="22"/>
        </w:rPr>
        <w:t>,</w:t>
      </w:r>
      <w:r w:rsidR="00D10B25" w:rsidRPr="00495094">
        <w:rPr>
          <w:rFonts w:ascii="Arial" w:hAnsi="Arial" w:cs="Arial"/>
          <w:sz w:val="22"/>
          <w:szCs w:val="22"/>
        </w:rPr>
        <w:t>94</w:t>
      </w:r>
      <w:r w:rsidR="009F75A1" w:rsidRPr="00495094">
        <w:rPr>
          <w:rFonts w:ascii="Arial" w:hAnsi="Arial" w:cs="Arial"/>
          <w:sz w:val="22"/>
          <w:szCs w:val="22"/>
        </w:rPr>
        <w:t>3,598</w:t>
      </w:r>
      <w:r w:rsidR="00630593" w:rsidRPr="00495094">
        <w:rPr>
          <w:rFonts w:ascii="Arial" w:hAnsi="Arial" w:cs="Arial"/>
          <w:sz w:val="22"/>
          <w:szCs w:val="22"/>
        </w:rPr>
        <w:t xml:space="preserve"> </w:t>
      </w:r>
      <w:r w:rsidR="00B37E32" w:rsidRPr="00495094">
        <w:rPr>
          <w:rFonts w:ascii="Arial" w:hAnsi="Arial" w:cs="Arial"/>
          <w:sz w:val="22"/>
          <w:szCs w:val="22"/>
        </w:rPr>
        <w:t xml:space="preserve">and </w:t>
      </w:r>
      <w:r w:rsidR="00D10B25" w:rsidRPr="00495094">
        <w:rPr>
          <w:rFonts w:ascii="Arial" w:hAnsi="Arial" w:cs="Arial"/>
          <w:sz w:val="22"/>
          <w:szCs w:val="22"/>
        </w:rPr>
        <w:t>375</w:t>
      </w:r>
      <w:r w:rsidR="009F75A1" w:rsidRPr="00495094">
        <w:rPr>
          <w:rFonts w:ascii="Arial" w:hAnsi="Arial" w:cs="Arial"/>
          <w:sz w:val="22"/>
          <w:szCs w:val="22"/>
        </w:rPr>
        <w:t>,</w:t>
      </w:r>
      <w:r w:rsidR="00D10B25" w:rsidRPr="00495094">
        <w:rPr>
          <w:rFonts w:ascii="Arial" w:hAnsi="Arial" w:cs="Arial"/>
          <w:sz w:val="22"/>
          <w:szCs w:val="22"/>
        </w:rPr>
        <w:t>84</w:t>
      </w:r>
      <w:r w:rsidR="009F75A1" w:rsidRPr="00495094">
        <w:rPr>
          <w:rFonts w:ascii="Arial" w:hAnsi="Arial" w:cs="Arial"/>
          <w:sz w:val="22"/>
          <w:szCs w:val="22"/>
        </w:rPr>
        <w:t>0,333</w:t>
      </w:r>
      <w:r w:rsidR="00F77B38" w:rsidRPr="00495094">
        <w:rPr>
          <w:rFonts w:ascii="Arial" w:hAnsi="Arial" w:cs="Arial"/>
          <w:sz w:val="22"/>
          <w:szCs w:val="22"/>
        </w:rPr>
        <w:t xml:space="preserve"> in 202</w:t>
      </w:r>
      <w:r w:rsidR="00D10B25" w:rsidRPr="00495094">
        <w:rPr>
          <w:rFonts w:ascii="Arial" w:hAnsi="Arial" w:cs="Arial"/>
          <w:sz w:val="22"/>
          <w:szCs w:val="22"/>
        </w:rPr>
        <w:t>2</w:t>
      </w:r>
      <w:r w:rsidR="00B37E32" w:rsidRPr="00495094">
        <w:rPr>
          <w:rFonts w:ascii="Arial" w:hAnsi="Arial" w:cs="Arial"/>
          <w:sz w:val="22"/>
          <w:szCs w:val="22"/>
        </w:rPr>
        <w:t xml:space="preserve"> and 20</w:t>
      </w:r>
      <w:r w:rsidR="00F77B38" w:rsidRPr="00495094">
        <w:rPr>
          <w:rFonts w:ascii="Arial" w:hAnsi="Arial" w:cs="Arial"/>
          <w:sz w:val="22"/>
          <w:szCs w:val="22"/>
        </w:rPr>
        <w:t>2</w:t>
      </w:r>
      <w:r w:rsidR="00D10B25" w:rsidRPr="00495094">
        <w:rPr>
          <w:rFonts w:ascii="Arial" w:hAnsi="Arial" w:cs="Arial"/>
          <w:sz w:val="22"/>
          <w:szCs w:val="22"/>
        </w:rPr>
        <w:t>1</w:t>
      </w:r>
      <w:r w:rsidR="00B37E32" w:rsidRPr="00495094">
        <w:rPr>
          <w:rFonts w:ascii="Arial" w:hAnsi="Arial" w:cs="Arial"/>
          <w:sz w:val="22"/>
          <w:szCs w:val="22"/>
        </w:rPr>
        <w:t>, respectively.</w:t>
      </w:r>
    </w:p>
    <w:p w14:paraId="1D60617A" w14:textId="77777777" w:rsidR="00C52BFC" w:rsidRPr="00495094" w:rsidRDefault="00C52BFC" w:rsidP="00EF7689">
      <w:pPr>
        <w:rPr>
          <w:rFonts w:ascii="Arial" w:hAnsi="Arial" w:cs="Arial"/>
          <w:sz w:val="22"/>
          <w:szCs w:val="22"/>
        </w:rPr>
      </w:pPr>
    </w:p>
    <w:p w14:paraId="485A6550" w14:textId="77777777" w:rsidR="00712BA8" w:rsidRPr="00495094" w:rsidRDefault="00712BA8" w:rsidP="00EF7689">
      <w:pPr>
        <w:rPr>
          <w:rFonts w:ascii="Arial" w:hAnsi="Arial" w:cs="Arial"/>
          <w:sz w:val="22"/>
          <w:szCs w:val="22"/>
        </w:rPr>
      </w:pPr>
    </w:p>
    <w:p w14:paraId="5BF87DF0" w14:textId="615090AE" w:rsidR="00031A04" w:rsidRPr="00495094" w:rsidRDefault="00736CA1" w:rsidP="007F4EEC">
      <w:pPr>
        <w:numPr>
          <w:ilvl w:val="0"/>
          <w:numId w:val="12"/>
        </w:numPr>
        <w:ind w:left="720"/>
        <w:rPr>
          <w:rFonts w:ascii="Arial" w:hAnsi="Arial" w:cs="Arial"/>
          <w:b/>
          <w:bCs/>
          <w:sz w:val="22"/>
          <w:szCs w:val="22"/>
        </w:rPr>
      </w:pPr>
      <w:r w:rsidRPr="00495094">
        <w:rPr>
          <w:rFonts w:ascii="Arial" w:hAnsi="Arial" w:cs="Arial"/>
          <w:b/>
          <w:bCs/>
          <w:sz w:val="22"/>
          <w:szCs w:val="22"/>
        </w:rPr>
        <w:t>Fair Value thru Other Comprehensive Income</w:t>
      </w:r>
    </w:p>
    <w:p w14:paraId="67044125" w14:textId="77777777" w:rsidR="00031A04" w:rsidRPr="00495094" w:rsidRDefault="00031A04" w:rsidP="00031A04">
      <w:pPr>
        <w:rPr>
          <w:rFonts w:ascii="Arial" w:hAnsi="Arial" w:cs="Arial"/>
          <w:sz w:val="22"/>
          <w:szCs w:val="22"/>
        </w:rPr>
      </w:pPr>
    </w:p>
    <w:p w14:paraId="08E968FA" w14:textId="0593D2DD" w:rsidR="005A1E8B" w:rsidRPr="00495094" w:rsidRDefault="005A1E8B" w:rsidP="005A1E8B">
      <w:pPr>
        <w:pStyle w:val="BodyTextIndent2"/>
        <w:ind w:left="0"/>
        <w:rPr>
          <w:rFonts w:ascii="Arial" w:hAnsi="Arial" w:cs="Arial"/>
          <w:sz w:val="22"/>
          <w:szCs w:val="22"/>
        </w:rPr>
      </w:pPr>
      <w:r w:rsidRPr="00495094">
        <w:rPr>
          <w:rFonts w:ascii="Arial" w:hAnsi="Arial" w:cs="Arial"/>
          <w:sz w:val="22"/>
          <w:szCs w:val="22"/>
        </w:rPr>
        <w:t xml:space="preserve">This account is composed of: </w:t>
      </w:r>
    </w:p>
    <w:p w14:paraId="7D6CFF68" w14:textId="77777777" w:rsidR="005A1E8B" w:rsidRPr="00495094" w:rsidRDefault="005A1E8B" w:rsidP="005A1E8B">
      <w:pPr>
        <w:pStyle w:val="BodyTextIndent2"/>
        <w:ind w:left="0"/>
        <w:rPr>
          <w:rFonts w:ascii="Arial" w:hAnsi="Arial" w:cs="Arial"/>
          <w:sz w:val="22"/>
          <w:szCs w:val="22"/>
        </w:rPr>
      </w:pPr>
    </w:p>
    <w:tbl>
      <w:tblPr>
        <w:tblW w:w="8114" w:type="dxa"/>
        <w:tblInd w:w="108" w:type="dxa"/>
        <w:tblLook w:val="04A0" w:firstRow="1" w:lastRow="0" w:firstColumn="1" w:lastColumn="0" w:noHBand="0" w:noVBand="1"/>
      </w:tblPr>
      <w:tblGrid>
        <w:gridCol w:w="4320"/>
        <w:gridCol w:w="1951"/>
        <w:gridCol w:w="1843"/>
      </w:tblGrid>
      <w:tr w:rsidR="00495094" w:rsidRPr="00495094" w14:paraId="7757784D" w14:textId="77777777" w:rsidTr="00C67704">
        <w:trPr>
          <w:tblHeader/>
        </w:trPr>
        <w:tc>
          <w:tcPr>
            <w:tcW w:w="4320" w:type="dxa"/>
            <w:tcBorders>
              <w:top w:val="single" w:sz="4" w:space="0" w:color="auto"/>
              <w:bottom w:val="single" w:sz="4" w:space="0" w:color="auto"/>
            </w:tcBorders>
          </w:tcPr>
          <w:p w14:paraId="1B03BAE9" w14:textId="77777777" w:rsidR="00C85A38" w:rsidRPr="00495094" w:rsidRDefault="00C85A38" w:rsidP="00C85A38">
            <w:pPr>
              <w:rPr>
                <w:rFonts w:ascii="Arial" w:hAnsi="Arial" w:cs="Arial"/>
                <w:sz w:val="22"/>
                <w:szCs w:val="22"/>
              </w:rPr>
            </w:pPr>
          </w:p>
        </w:tc>
        <w:tc>
          <w:tcPr>
            <w:tcW w:w="1951" w:type="dxa"/>
            <w:tcBorders>
              <w:top w:val="single" w:sz="4" w:space="0" w:color="auto"/>
              <w:bottom w:val="single" w:sz="4" w:space="0" w:color="auto"/>
            </w:tcBorders>
          </w:tcPr>
          <w:p w14:paraId="79262BFF" w14:textId="4D1BAD9B" w:rsidR="00C85A38" w:rsidRPr="00495094" w:rsidRDefault="00822BE8" w:rsidP="00D10B25">
            <w:pPr>
              <w:ind w:left="702"/>
              <w:jc w:val="center"/>
              <w:rPr>
                <w:rFonts w:ascii="Arial" w:hAnsi="Arial" w:cs="Arial"/>
                <w:b/>
                <w:bCs/>
                <w:sz w:val="22"/>
                <w:szCs w:val="22"/>
              </w:rPr>
            </w:pPr>
            <w:r w:rsidRPr="00495094">
              <w:rPr>
                <w:rFonts w:ascii="Arial" w:hAnsi="Arial" w:cs="Arial"/>
                <w:b/>
                <w:bCs/>
                <w:sz w:val="22"/>
                <w:szCs w:val="22"/>
              </w:rPr>
              <w:t>202</w:t>
            </w:r>
            <w:r w:rsidR="00D10B25" w:rsidRPr="00495094">
              <w:rPr>
                <w:rFonts w:ascii="Arial" w:hAnsi="Arial" w:cs="Arial"/>
                <w:b/>
                <w:bCs/>
                <w:sz w:val="22"/>
                <w:szCs w:val="22"/>
              </w:rPr>
              <w:t>2</w:t>
            </w:r>
          </w:p>
        </w:tc>
        <w:tc>
          <w:tcPr>
            <w:tcW w:w="1843" w:type="dxa"/>
            <w:tcBorders>
              <w:top w:val="single" w:sz="4" w:space="0" w:color="auto"/>
              <w:bottom w:val="single" w:sz="4" w:space="0" w:color="auto"/>
            </w:tcBorders>
            <w:vAlign w:val="center"/>
          </w:tcPr>
          <w:p w14:paraId="4872CE0C" w14:textId="7E642F22" w:rsidR="00C85A38" w:rsidRPr="00495094" w:rsidRDefault="00C85A38" w:rsidP="00D10B25">
            <w:pPr>
              <w:ind w:left="702"/>
              <w:jc w:val="center"/>
              <w:rPr>
                <w:rFonts w:ascii="Arial" w:hAnsi="Arial" w:cs="Arial"/>
                <w:b/>
                <w:bCs/>
                <w:sz w:val="22"/>
                <w:szCs w:val="22"/>
              </w:rPr>
            </w:pPr>
            <w:r w:rsidRPr="00495094">
              <w:rPr>
                <w:rFonts w:ascii="Arial" w:hAnsi="Arial" w:cs="Arial"/>
                <w:b/>
                <w:bCs/>
                <w:sz w:val="22"/>
                <w:szCs w:val="22"/>
              </w:rPr>
              <w:t>20</w:t>
            </w:r>
            <w:r w:rsidR="00822BE8" w:rsidRPr="00495094">
              <w:rPr>
                <w:rFonts w:ascii="Arial" w:hAnsi="Arial" w:cs="Arial"/>
                <w:b/>
                <w:bCs/>
                <w:sz w:val="22"/>
                <w:szCs w:val="22"/>
              </w:rPr>
              <w:t>2</w:t>
            </w:r>
            <w:r w:rsidR="00D10B25" w:rsidRPr="00495094">
              <w:rPr>
                <w:rFonts w:ascii="Arial" w:hAnsi="Arial" w:cs="Arial"/>
                <w:b/>
                <w:bCs/>
                <w:sz w:val="22"/>
                <w:szCs w:val="22"/>
              </w:rPr>
              <w:t>1</w:t>
            </w:r>
          </w:p>
        </w:tc>
      </w:tr>
      <w:tr w:rsidR="00495094" w:rsidRPr="00495094" w14:paraId="2D7D2DCD" w14:textId="77777777" w:rsidTr="00C67704">
        <w:tc>
          <w:tcPr>
            <w:tcW w:w="4320" w:type="dxa"/>
            <w:vAlign w:val="center"/>
          </w:tcPr>
          <w:p w14:paraId="71AF08EC" w14:textId="02E0F4EB" w:rsidR="00822BE8" w:rsidRPr="00495094" w:rsidRDefault="00822BE8" w:rsidP="00822BE8">
            <w:pPr>
              <w:jc w:val="left"/>
              <w:rPr>
                <w:rFonts w:ascii="Arial" w:hAnsi="Arial" w:cs="Arial"/>
                <w:sz w:val="22"/>
                <w:szCs w:val="22"/>
              </w:rPr>
            </w:pPr>
            <w:r w:rsidRPr="00495094">
              <w:rPr>
                <w:rFonts w:ascii="Arial" w:hAnsi="Arial" w:cs="Arial"/>
                <w:sz w:val="22"/>
                <w:szCs w:val="22"/>
              </w:rPr>
              <w:t xml:space="preserve">Investment in Treasury Bills/Fixed Treasury Notes purchased from Security Bank Corp. </w:t>
            </w:r>
          </w:p>
        </w:tc>
        <w:tc>
          <w:tcPr>
            <w:tcW w:w="1951" w:type="dxa"/>
          </w:tcPr>
          <w:p w14:paraId="62F635C0" w14:textId="1251DB38" w:rsidR="00822BE8" w:rsidRPr="00495094" w:rsidRDefault="00822BE8" w:rsidP="00D10B25">
            <w:pPr>
              <w:jc w:val="right"/>
              <w:rPr>
                <w:rFonts w:ascii="Arial" w:hAnsi="Arial" w:cs="Arial"/>
                <w:sz w:val="22"/>
                <w:szCs w:val="22"/>
              </w:rPr>
            </w:pPr>
            <w:r w:rsidRPr="00495094">
              <w:rPr>
                <w:rFonts w:ascii="Arial" w:hAnsi="Arial" w:cs="Arial"/>
                <w:sz w:val="22"/>
                <w:szCs w:val="22"/>
              </w:rPr>
              <w:t>4</w:t>
            </w:r>
            <w:r w:rsidR="00D10B25" w:rsidRPr="00495094">
              <w:rPr>
                <w:rFonts w:ascii="Arial" w:hAnsi="Arial" w:cs="Arial"/>
                <w:sz w:val="22"/>
                <w:szCs w:val="22"/>
              </w:rPr>
              <w:t>6</w:t>
            </w:r>
            <w:r w:rsidRPr="00495094">
              <w:rPr>
                <w:rFonts w:ascii="Arial" w:hAnsi="Arial" w:cs="Arial"/>
                <w:sz w:val="22"/>
                <w:szCs w:val="22"/>
              </w:rPr>
              <w:t>,</w:t>
            </w:r>
            <w:r w:rsidR="00D10B25" w:rsidRPr="00495094">
              <w:rPr>
                <w:rFonts w:ascii="Arial" w:hAnsi="Arial" w:cs="Arial"/>
                <w:sz w:val="22"/>
                <w:szCs w:val="22"/>
              </w:rPr>
              <w:t>240</w:t>
            </w:r>
            <w:r w:rsidRPr="00495094">
              <w:rPr>
                <w:rFonts w:ascii="Arial" w:hAnsi="Arial" w:cs="Arial"/>
                <w:sz w:val="22"/>
                <w:szCs w:val="22"/>
              </w:rPr>
              <w:t>,6</w:t>
            </w:r>
            <w:r w:rsidR="00D10B25" w:rsidRPr="00495094">
              <w:rPr>
                <w:rFonts w:ascii="Arial" w:hAnsi="Arial" w:cs="Arial"/>
                <w:sz w:val="22"/>
                <w:szCs w:val="22"/>
              </w:rPr>
              <w:t>69</w:t>
            </w:r>
            <w:r w:rsidRPr="00495094">
              <w:rPr>
                <w:rFonts w:ascii="Arial" w:hAnsi="Arial" w:cs="Arial"/>
                <w:sz w:val="22"/>
                <w:szCs w:val="22"/>
              </w:rPr>
              <w:t xml:space="preserve">     </w:t>
            </w:r>
          </w:p>
        </w:tc>
        <w:tc>
          <w:tcPr>
            <w:tcW w:w="1843" w:type="dxa"/>
          </w:tcPr>
          <w:p w14:paraId="1A78F5DF" w14:textId="2A812412" w:rsidR="00822BE8" w:rsidRPr="00495094" w:rsidRDefault="00D10B25" w:rsidP="00822BE8">
            <w:pPr>
              <w:jc w:val="right"/>
              <w:rPr>
                <w:rFonts w:ascii="Arial" w:hAnsi="Arial" w:cs="Arial"/>
                <w:sz w:val="22"/>
                <w:szCs w:val="22"/>
              </w:rPr>
            </w:pPr>
            <w:r w:rsidRPr="00495094">
              <w:rPr>
                <w:rFonts w:ascii="Arial" w:hAnsi="Arial" w:cs="Arial"/>
                <w:sz w:val="22"/>
                <w:szCs w:val="22"/>
              </w:rPr>
              <w:t>48,994,600</w:t>
            </w:r>
            <w:r w:rsidR="00822BE8" w:rsidRPr="00495094">
              <w:rPr>
                <w:rFonts w:ascii="Arial" w:hAnsi="Arial" w:cs="Arial"/>
                <w:sz w:val="22"/>
                <w:szCs w:val="22"/>
              </w:rPr>
              <w:t xml:space="preserve">     </w:t>
            </w:r>
          </w:p>
        </w:tc>
      </w:tr>
      <w:tr w:rsidR="00495094" w:rsidRPr="00495094" w14:paraId="2E6A0341" w14:textId="77777777" w:rsidTr="00C67704">
        <w:tc>
          <w:tcPr>
            <w:tcW w:w="4320" w:type="dxa"/>
            <w:vAlign w:val="center"/>
          </w:tcPr>
          <w:p w14:paraId="751DAD66" w14:textId="6956153A" w:rsidR="00822BE8" w:rsidRPr="00495094" w:rsidRDefault="00822BE8" w:rsidP="00822BE8">
            <w:pPr>
              <w:jc w:val="left"/>
              <w:rPr>
                <w:rFonts w:ascii="Arial" w:hAnsi="Arial" w:cs="Arial"/>
                <w:sz w:val="22"/>
                <w:szCs w:val="22"/>
              </w:rPr>
            </w:pPr>
            <w:r w:rsidRPr="00495094">
              <w:rPr>
                <w:rFonts w:ascii="Arial" w:hAnsi="Arial" w:cs="Arial"/>
                <w:sz w:val="22"/>
                <w:szCs w:val="22"/>
              </w:rPr>
              <w:t>Investment in QUEDANCOR Bonds</w:t>
            </w:r>
          </w:p>
        </w:tc>
        <w:tc>
          <w:tcPr>
            <w:tcW w:w="1951" w:type="dxa"/>
          </w:tcPr>
          <w:p w14:paraId="0E922329" w14:textId="136A7E27" w:rsidR="00822BE8" w:rsidRPr="00495094" w:rsidRDefault="00822BE8" w:rsidP="00822BE8">
            <w:pPr>
              <w:jc w:val="right"/>
              <w:rPr>
                <w:rFonts w:ascii="Arial" w:hAnsi="Arial" w:cs="Arial"/>
                <w:sz w:val="22"/>
                <w:szCs w:val="22"/>
              </w:rPr>
            </w:pPr>
            <w:r w:rsidRPr="00495094">
              <w:rPr>
                <w:rFonts w:ascii="Arial" w:hAnsi="Arial" w:cs="Arial"/>
                <w:sz w:val="22"/>
                <w:szCs w:val="22"/>
              </w:rPr>
              <w:t>30,000,000</w:t>
            </w:r>
          </w:p>
        </w:tc>
        <w:tc>
          <w:tcPr>
            <w:tcW w:w="1843" w:type="dxa"/>
          </w:tcPr>
          <w:p w14:paraId="175B8E2D" w14:textId="0A569A8D" w:rsidR="00822BE8" w:rsidRPr="00495094" w:rsidRDefault="00822BE8" w:rsidP="00822BE8">
            <w:pPr>
              <w:jc w:val="right"/>
              <w:rPr>
                <w:rFonts w:ascii="Arial" w:hAnsi="Arial" w:cs="Arial"/>
                <w:sz w:val="22"/>
                <w:szCs w:val="22"/>
              </w:rPr>
            </w:pPr>
            <w:r w:rsidRPr="00495094">
              <w:rPr>
                <w:rFonts w:ascii="Arial" w:hAnsi="Arial" w:cs="Arial"/>
                <w:sz w:val="22"/>
                <w:szCs w:val="22"/>
              </w:rPr>
              <w:t>30,000,000</w:t>
            </w:r>
          </w:p>
        </w:tc>
      </w:tr>
      <w:tr w:rsidR="00495094" w:rsidRPr="00495094" w14:paraId="21B74825" w14:textId="77777777" w:rsidTr="00C67704">
        <w:tc>
          <w:tcPr>
            <w:tcW w:w="4320" w:type="dxa"/>
            <w:tcBorders>
              <w:bottom w:val="single" w:sz="4" w:space="0" w:color="auto"/>
            </w:tcBorders>
            <w:vAlign w:val="center"/>
          </w:tcPr>
          <w:p w14:paraId="2E999402" w14:textId="6AE79A7D" w:rsidR="00822BE8" w:rsidRPr="00495094" w:rsidRDefault="00822BE8" w:rsidP="00822BE8">
            <w:pPr>
              <w:jc w:val="left"/>
              <w:rPr>
                <w:rFonts w:ascii="Arial" w:hAnsi="Arial" w:cs="Arial"/>
                <w:sz w:val="22"/>
                <w:szCs w:val="22"/>
              </w:rPr>
            </w:pPr>
            <w:r w:rsidRPr="00495094">
              <w:rPr>
                <w:rFonts w:ascii="Arial" w:hAnsi="Arial" w:cs="Arial"/>
                <w:sz w:val="22"/>
                <w:szCs w:val="22"/>
              </w:rPr>
              <w:t>Allowance for credit losses</w:t>
            </w:r>
          </w:p>
        </w:tc>
        <w:tc>
          <w:tcPr>
            <w:tcW w:w="1951" w:type="dxa"/>
            <w:tcBorders>
              <w:bottom w:val="single" w:sz="4" w:space="0" w:color="auto"/>
            </w:tcBorders>
          </w:tcPr>
          <w:p w14:paraId="54CFCD7E" w14:textId="10C25D25" w:rsidR="00822BE8" w:rsidRPr="00495094" w:rsidRDefault="00822BE8" w:rsidP="00822BE8">
            <w:pPr>
              <w:ind w:right="-108"/>
              <w:jc w:val="right"/>
              <w:rPr>
                <w:rFonts w:ascii="Arial" w:hAnsi="Arial" w:cs="Arial"/>
                <w:sz w:val="22"/>
                <w:szCs w:val="22"/>
              </w:rPr>
            </w:pPr>
            <w:r w:rsidRPr="00495094">
              <w:rPr>
                <w:rFonts w:ascii="Arial" w:hAnsi="Arial" w:cs="Arial"/>
                <w:sz w:val="22"/>
                <w:szCs w:val="22"/>
              </w:rPr>
              <w:t>(30,000,000)</w:t>
            </w:r>
          </w:p>
        </w:tc>
        <w:tc>
          <w:tcPr>
            <w:tcW w:w="1843" w:type="dxa"/>
            <w:tcBorders>
              <w:bottom w:val="single" w:sz="4" w:space="0" w:color="auto"/>
            </w:tcBorders>
          </w:tcPr>
          <w:p w14:paraId="430B4087" w14:textId="6DE2C67C" w:rsidR="00822BE8" w:rsidRPr="00495094" w:rsidRDefault="00822BE8" w:rsidP="00822BE8">
            <w:pPr>
              <w:ind w:right="-108"/>
              <w:jc w:val="right"/>
              <w:rPr>
                <w:rFonts w:ascii="Arial" w:hAnsi="Arial" w:cs="Arial"/>
                <w:sz w:val="22"/>
                <w:szCs w:val="22"/>
              </w:rPr>
            </w:pPr>
            <w:r w:rsidRPr="00495094">
              <w:rPr>
                <w:rFonts w:ascii="Arial" w:hAnsi="Arial" w:cs="Arial"/>
                <w:sz w:val="22"/>
                <w:szCs w:val="22"/>
              </w:rPr>
              <w:t>(30,000,000)</w:t>
            </w:r>
          </w:p>
        </w:tc>
      </w:tr>
      <w:tr w:rsidR="00495094" w:rsidRPr="00495094" w14:paraId="7346FE39" w14:textId="77777777" w:rsidTr="00C67704">
        <w:tc>
          <w:tcPr>
            <w:tcW w:w="4320" w:type="dxa"/>
            <w:tcBorders>
              <w:top w:val="single" w:sz="4" w:space="0" w:color="auto"/>
              <w:bottom w:val="double" w:sz="4" w:space="0" w:color="auto"/>
            </w:tcBorders>
          </w:tcPr>
          <w:p w14:paraId="3652D762" w14:textId="77777777" w:rsidR="00822BE8" w:rsidRPr="00495094" w:rsidRDefault="00822BE8" w:rsidP="00822BE8">
            <w:pPr>
              <w:rPr>
                <w:rFonts w:ascii="Arial" w:hAnsi="Arial" w:cs="Arial"/>
                <w:sz w:val="22"/>
                <w:szCs w:val="22"/>
              </w:rPr>
            </w:pPr>
          </w:p>
        </w:tc>
        <w:tc>
          <w:tcPr>
            <w:tcW w:w="1951" w:type="dxa"/>
            <w:tcBorders>
              <w:top w:val="single" w:sz="4" w:space="0" w:color="auto"/>
              <w:bottom w:val="double" w:sz="4" w:space="0" w:color="auto"/>
            </w:tcBorders>
          </w:tcPr>
          <w:p w14:paraId="231D9023" w14:textId="04642EE5" w:rsidR="00822BE8" w:rsidRPr="00495094" w:rsidRDefault="00822BE8" w:rsidP="00D10B25">
            <w:pPr>
              <w:jc w:val="right"/>
              <w:rPr>
                <w:rFonts w:ascii="Arial" w:hAnsi="Arial" w:cs="Arial"/>
                <w:sz w:val="22"/>
                <w:szCs w:val="22"/>
              </w:rPr>
            </w:pPr>
            <w:r w:rsidRPr="00495094">
              <w:rPr>
                <w:rFonts w:ascii="Arial" w:hAnsi="Arial" w:cs="Arial"/>
                <w:sz w:val="22"/>
                <w:szCs w:val="22"/>
              </w:rPr>
              <w:t>4</w:t>
            </w:r>
            <w:r w:rsidR="00D10B25" w:rsidRPr="00495094">
              <w:rPr>
                <w:rFonts w:ascii="Arial" w:hAnsi="Arial" w:cs="Arial"/>
                <w:sz w:val="22"/>
                <w:szCs w:val="22"/>
              </w:rPr>
              <w:t>6</w:t>
            </w:r>
            <w:r w:rsidRPr="00495094">
              <w:rPr>
                <w:rFonts w:ascii="Arial" w:hAnsi="Arial" w:cs="Arial"/>
                <w:sz w:val="22"/>
                <w:szCs w:val="22"/>
              </w:rPr>
              <w:t>,</w:t>
            </w:r>
            <w:r w:rsidR="00D10B25" w:rsidRPr="00495094">
              <w:rPr>
                <w:rFonts w:ascii="Arial" w:hAnsi="Arial" w:cs="Arial"/>
                <w:sz w:val="22"/>
                <w:szCs w:val="22"/>
              </w:rPr>
              <w:t>240</w:t>
            </w:r>
            <w:r w:rsidRPr="00495094">
              <w:rPr>
                <w:rFonts w:ascii="Arial" w:hAnsi="Arial" w:cs="Arial"/>
                <w:sz w:val="22"/>
                <w:szCs w:val="22"/>
              </w:rPr>
              <w:t>,6</w:t>
            </w:r>
            <w:r w:rsidR="00D10B25" w:rsidRPr="00495094">
              <w:rPr>
                <w:rFonts w:ascii="Arial" w:hAnsi="Arial" w:cs="Arial"/>
                <w:sz w:val="22"/>
                <w:szCs w:val="22"/>
              </w:rPr>
              <w:t>69</w:t>
            </w:r>
            <w:r w:rsidRPr="00495094">
              <w:rPr>
                <w:rFonts w:ascii="Arial" w:hAnsi="Arial" w:cs="Arial"/>
                <w:sz w:val="22"/>
                <w:szCs w:val="22"/>
              </w:rPr>
              <w:t xml:space="preserve">     </w:t>
            </w:r>
          </w:p>
        </w:tc>
        <w:tc>
          <w:tcPr>
            <w:tcW w:w="1843" w:type="dxa"/>
            <w:tcBorders>
              <w:top w:val="single" w:sz="4" w:space="0" w:color="auto"/>
              <w:bottom w:val="double" w:sz="4" w:space="0" w:color="auto"/>
            </w:tcBorders>
          </w:tcPr>
          <w:p w14:paraId="402F57C5" w14:textId="22A9A446" w:rsidR="00822BE8" w:rsidRPr="00495094" w:rsidRDefault="000019BE" w:rsidP="00822BE8">
            <w:pPr>
              <w:jc w:val="right"/>
              <w:rPr>
                <w:rFonts w:ascii="Arial" w:hAnsi="Arial" w:cs="Arial"/>
                <w:sz w:val="22"/>
                <w:szCs w:val="22"/>
              </w:rPr>
            </w:pPr>
            <w:r w:rsidRPr="00495094">
              <w:rPr>
                <w:rFonts w:ascii="Arial" w:hAnsi="Arial" w:cs="Arial"/>
                <w:sz w:val="22"/>
                <w:szCs w:val="22"/>
              </w:rPr>
              <w:t>48,994,600</w:t>
            </w:r>
            <w:r w:rsidR="00822BE8" w:rsidRPr="00495094">
              <w:rPr>
                <w:rFonts w:ascii="Arial" w:hAnsi="Arial" w:cs="Arial"/>
                <w:sz w:val="22"/>
                <w:szCs w:val="22"/>
              </w:rPr>
              <w:t xml:space="preserve">     </w:t>
            </w:r>
          </w:p>
        </w:tc>
      </w:tr>
    </w:tbl>
    <w:p w14:paraId="555AE4AE" w14:textId="77777777" w:rsidR="00C85A38" w:rsidRPr="00495094" w:rsidRDefault="00C85A38" w:rsidP="005A1E8B">
      <w:pPr>
        <w:pStyle w:val="BodyTextIndent2"/>
        <w:ind w:left="0"/>
        <w:rPr>
          <w:rFonts w:ascii="Arial" w:hAnsi="Arial" w:cs="Arial"/>
          <w:sz w:val="22"/>
          <w:szCs w:val="22"/>
        </w:rPr>
      </w:pPr>
    </w:p>
    <w:p w14:paraId="598F28A6" w14:textId="60E5E5E5" w:rsidR="005A1E8B" w:rsidRPr="00495094" w:rsidRDefault="006714CC" w:rsidP="005A1E8B">
      <w:pPr>
        <w:tabs>
          <w:tab w:val="left" w:pos="8550"/>
        </w:tabs>
        <w:rPr>
          <w:rFonts w:ascii="Arial" w:hAnsi="Arial" w:cs="Arial"/>
          <w:bCs/>
          <w:sz w:val="22"/>
          <w:szCs w:val="22"/>
        </w:rPr>
      </w:pPr>
      <w:r w:rsidRPr="00495094">
        <w:rPr>
          <w:rFonts w:ascii="Arial" w:hAnsi="Arial" w:cs="Arial"/>
          <w:bCs/>
          <w:sz w:val="22"/>
          <w:szCs w:val="22"/>
        </w:rPr>
        <w:t>The investment in QUEDANCOR</w:t>
      </w:r>
      <w:r w:rsidR="005A1E8B" w:rsidRPr="00495094">
        <w:rPr>
          <w:rFonts w:ascii="Arial" w:hAnsi="Arial" w:cs="Arial"/>
          <w:bCs/>
          <w:sz w:val="22"/>
          <w:szCs w:val="22"/>
        </w:rPr>
        <w:t xml:space="preserve"> bonds </w:t>
      </w:r>
      <w:r w:rsidR="00C85A38" w:rsidRPr="00495094">
        <w:rPr>
          <w:rFonts w:ascii="Arial" w:hAnsi="Arial" w:cs="Arial"/>
          <w:sz w:val="22"/>
          <w:szCs w:val="22"/>
        </w:rPr>
        <w:t>amounting to P30</w:t>
      </w:r>
      <w:r w:rsidR="00445E6D" w:rsidRPr="00495094">
        <w:rPr>
          <w:rFonts w:ascii="Arial" w:hAnsi="Arial" w:cs="Arial"/>
          <w:sz w:val="22"/>
          <w:szCs w:val="22"/>
        </w:rPr>
        <w:t>.</w:t>
      </w:r>
      <w:r w:rsidR="00C85A38" w:rsidRPr="00495094">
        <w:rPr>
          <w:rFonts w:ascii="Arial" w:hAnsi="Arial" w:cs="Arial"/>
          <w:sz w:val="22"/>
          <w:szCs w:val="22"/>
        </w:rPr>
        <w:t>0</w:t>
      </w:r>
      <w:r w:rsidR="00445E6D" w:rsidRPr="00495094">
        <w:rPr>
          <w:rFonts w:ascii="Arial" w:hAnsi="Arial" w:cs="Arial"/>
          <w:sz w:val="22"/>
          <w:szCs w:val="22"/>
        </w:rPr>
        <w:t xml:space="preserve"> million</w:t>
      </w:r>
      <w:r w:rsidR="005A1E8B" w:rsidRPr="00495094">
        <w:rPr>
          <w:rFonts w:ascii="Arial" w:hAnsi="Arial" w:cs="Arial"/>
          <w:sz w:val="22"/>
          <w:szCs w:val="22"/>
        </w:rPr>
        <w:t xml:space="preserve"> with allowance for probable losses</w:t>
      </w:r>
      <w:r w:rsidR="00C85A38" w:rsidRPr="00495094">
        <w:rPr>
          <w:rFonts w:ascii="Arial" w:hAnsi="Arial" w:cs="Arial"/>
          <w:sz w:val="22"/>
          <w:szCs w:val="22"/>
        </w:rPr>
        <w:t xml:space="preserve"> of the same amount</w:t>
      </w:r>
      <w:r w:rsidR="005A1E8B" w:rsidRPr="00495094">
        <w:rPr>
          <w:rFonts w:ascii="Arial" w:hAnsi="Arial" w:cs="Arial"/>
          <w:bCs/>
          <w:sz w:val="22"/>
          <w:szCs w:val="22"/>
        </w:rPr>
        <w:t xml:space="preserve"> was recorded initially under Unquoted Debt Securities Classified as Loans (UDSCL) and subsequently reclassified to Miscellaneous Assets account in 2018 in accordance with BSP Circular No. 1011 dated August 14, 2018</w:t>
      </w:r>
      <w:r w:rsidR="00C85A38" w:rsidRPr="00495094">
        <w:rPr>
          <w:rFonts w:ascii="Arial" w:hAnsi="Arial" w:cs="Arial"/>
          <w:bCs/>
          <w:sz w:val="22"/>
          <w:szCs w:val="22"/>
        </w:rPr>
        <w:t xml:space="preserve"> an</w:t>
      </w:r>
      <w:r w:rsidRPr="00495094">
        <w:rPr>
          <w:rFonts w:ascii="Arial" w:hAnsi="Arial" w:cs="Arial"/>
          <w:bCs/>
          <w:sz w:val="22"/>
          <w:szCs w:val="22"/>
        </w:rPr>
        <w:t>d to FVOCI account in 2020</w:t>
      </w:r>
      <w:r w:rsidR="005A1E8B" w:rsidRPr="00495094">
        <w:rPr>
          <w:rFonts w:ascii="Arial" w:hAnsi="Arial" w:cs="Arial"/>
          <w:bCs/>
          <w:sz w:val="22"/>
          <w:szCs w:val="22"/>
        </w:rPr>
        <w:t xml:space="preserve">. This investment was made for the Bank’s Agri-Agra compliance which is now under negotiation </w:t>
      </w:r>
      <w:r w:rsidRPr="00495094">
        <w:rPr>
          <w:rFonts w:ascii="Arial" w:hAnsi="Arial" w:cs="Arial"/>
          <w:bCs/>
          <w:sz w:val="22"/>
          <w:szCs w:val="22"/>
        </w:rPr>
        <w:t>for the replacement of QUENDANCOR</w:t>
      </w:r>
      <w:r w:rsidR="005A1E8B" w:rsidRPr="00495094">
        <w:rPr>
          <w:rFonts w:ascii="Arial" w:hAnsi="Arial" w:cs="Arial"/>
          <w:bCs/>
          <w:sz w:val="22"/>
          <w:szCs w:val="22"/>
        </w:rPr>
        <w:t xml:space="preserve"> Restructured Notes.</w:t>
      </w:r>
    </w:p>
    <w:p w14:paraId="0A20410E" w14:textId="3C69562B" w:rsidR="00455BD5" w:rsidRPr="00495094" w:rsidRDefault="00455BD5" w:rsidP="005A1E8B">
      <w:pPr>
        <w:tabs>
          <w:tab w:val="left" w:pos="8550"/>
        </w:tabs>
        <w:rPr>
          <w:rFonts w:ascii="Arial" w:hAnsi="Arial" w:cs="Arial"/>
          <w:bCs/>
          <w:sz w:val="22"/>
          <w:szCs w:val="22"/>
        </w:rPr>
      </w:pPr>
    </w:p>
    <w:p w14:paraId="301B9214" w14:textId="77777777" w:rsidR="008A7D9C" w:rsidRPr="00495094" w:rsidRDefault="008A7D9C" w:rsidP="005A1E8B">
      <w:pPr>
        <w:tabs>
          <w:tab w:val="left" w:pos="8550"/>
        </w:tabs>
        <w:rPr>
          <w:rFonts w:ascii="Arial" w:hAnsi="Arial" w:cs="Arial"/>
          <w:bCs/>
          <w:sz w:val="22"/>
          <w:szCs w:val="22"/>
        </w:rPr>
      </w:pPr>
    </w:p>
    <w:p w14:paraId="1609AB50" w14:textId="65EAF1DC" w:rsidR="00FC0F1A" w:rsidRPr="00495094" w:rsidRDefault="00455BD5" w:rsidP="00216402">
      <w:pPr>
        <w:pStyle w:val="ListParagraph"/>
        <w:numPr>
          <w:ilvl w:val="0"/>
          <w:numId w:val="12"/>
        </w:numPr>
        <w:tabs>
          <w:tab w:val="left" w:pos="8550"/>
        </w:tabs>
        <w:ind w:left="630"/>
        <w:rPr>
          <w:bCs/>
        </w:rPr>
      </w:pPr>
      <w:r w:rsidRPr="00495094">
        <w:rPr>
          <w:bCs/>
        </w:rPr>
        <w:t xml:space="preserve"> Held to Maturity Financial Assets</w:t>
      </w:r>
      <w:r w:rsidR="008A7D9C" w:rsidRPr="00495094">
        <w:rPr>
          <w:bCs/>
        </w:rPr>
        <w:t>, net</w:t>
      </w:r>
    </w:p>
    <w:p w14:paraId="4A29CF46" w14:textId="0BFDCC8B" w:rsidR="00455BD5" w:rsidRPr="00495094" w:rsidRDefault="00FC0F1A" w:rsidP="00216402">
      <w:pPr>
        <w:pStyle w:val="ListParagraph"/>
        <w:tabs>
          <w:tab w:val="left" w:pos="8550"/>
        </w:tabs>
        <w:ind w:left="630"/>
        <w:rPr>
          <w:bCs/>
        </w:rPr>
      </w:pPr>
      <w:r w:rsidRPr="00495094">
        <w:rPr>
          <w:bCs/>
        </w:rPr>
        <w:t xml:space="preserve">        </w:t>
      </w:r>
    </w:p>
    <w:tbl>
      <w:tblPr>
        <w:tblW w:w="8114" w:type="dxa"/>
        <w:tblInd w:w="108" w:type="dxa"/>
        <w:tblLook w:val="04A0" w:firstRow="1" w:lastRow="0" w:firstColumn="1" w:lastColumn="0" w:noHBand="0" w:noVBand="1"/>
      </w:tblPr>
      <w:tblGrid>
        <w:gridCol w:w="4570"/>
        <w:gridCol w:w="1809"/>
        <w:gridCol w:w="1735"/>
      </w:tblGrid>
      <w:tr w:rsidR="00495094" w:rsidRPr="00495094" w14:paraId="28F49560" w14:textId="77777777" w:rsidTr="00C67704">
        <w:trPr>
          <w:tblHeader/>
        </w:trPr>
        <w:tc>
          <w:tcPr>
            <w:tcW w:w="4570" w:type="dxa"/>
            <w:tcBorders>
              <w:top w:val="single" w:sz="4" w:space="0" w:color="auto"/>
              <w:bottom w:val="single" w:sz="4" w:space="0" w:color="auto"/>
            </w:tcBorders>
          </w:tcPr>
          <w:p w14:paraId="374D07DD" w14:textId="77777777" w:rsidR="00FC0F1A" w:rsidRPr="00495094" w:rsidRDefault="00FC0F1A" w:rsidP="00256888">
            <w:pPr>
              <w:rPr>
                <w:rFonts w:ascii="Arial" w:hAnsi="Arial" w:cs="Arial"/>
                <w:sz w:val="22"/>
                <w:szCs w:val="22"/>
              </w:rPr>
            </w:pPr>
          </w:p>
        </w:tc>
        <w:tc>
          <w:tcPr>
            <w:tcW w:w="1809" w:type="dxa"/>
            <w:tcBorders>
              <w:top w:val="single" w:sz="4" w:space="0" w:color="auto"/>
              <w:bottom w:val="single" w:sz="4" w:space="0" w:color="auto"/>
            </w:tcBorders>
          </w:tcPr>
          <w:p w14:paraId="21338021" w14:textId="77777777" w:rsidR="00FC0F1A" w:rsidRPr="00495094" w:rsidRDefault="00FC0F1A" w:rsidP="00256888">
            <w:pPr>
              <w:ind w:left="702"/>
              <w:jc w:val="center"/>
              <w:rPr>
                <w:rFonts w:ascii="Arial" w:hAnsi="Arial" w:cs="Arial"/>
                <w:b/>
                <w:bCs/>
                <w:sz w:val="22"/>
                <w:szCs w:val="22"/>
              </w:rPr>
            </w:pPr>
            <w:r w:rsidRPr="00495094">
              <w:rPr>
                <w:rFonts w:ascii="Arial" w:hAnsi="Arial" w:cs="Arial"/>
                <w:b/>
                <w:bCs/>
                <w:sz w:val="22"/>
                <w:szCs w:val="22"/>
              </w:rPr>
              <w:t>2022</w:t>
            </w:r>
          </w:p>
        </w:tc>
        <w:tc>
          <w:tcPr>
            <w:tcW w:w="1735" w:type="dxa"/>
            <w:tcBorders>
              <w:top w:val="single" w:sz="4" w:space="0" w:color="auto"/>
              <w:bottom w:val="single" w:sz="4" w:space="0" w:color="auto"/>
            </w:tcBorders>
            <w:vAlign w:val="center"/>
          </w:tcPr>
          <w:p w14:paraId="4FC73978" w14:textId="77777777" w:rsidR="00FC0F1A" w:rsidRPr="00495094" w:rsidRDefault="00FC0F1A" w:rsidP="00256888">
            <w:pPr>
              <w:ind w:left="702"/>
              <w:jc w:val="center"/>
              <w:rPr>
                <w:rFonts w:ascii="Arial" w:hAnsi="Arial" w:cs="Arial"/>
                <w:b/>
                <w:bCs/>
                <w:sz w:val="22"/>
                <w:szCs w:val="22"/>
              </w:rPr>
            </w:pPr>
            <w:r w:rsidRPr="00495094">
              <w:rPr>
                <w:rFonts w:ascii="Arial" w:hAnsi="Arial" w:cs="Arial"/>
                <w:b/>
                <w:bCs/>
                <w:sz w:val="22"/>
                <w:szCs w:val="22"/>
              </w:rPr>
              <w:t>2021</w:t>
            </w:r>
          </w:p>
        </w:tc>
      </w:tr>
      <w:tr w:rsidR="00495094" w:rsidRPr="00495094" w14:paraId="28C6D032" w14:textId="77777777" w:rsidTr="00C67704">
        <w:trPr>
          <w:trHeight w:val="98"/>
        </w:trPr>
        <w:tc>
          <w:tcPr>
            <w:tcW w:w="4570" w:type="dxa"/>
            <w:vAlign w:val="center"/>
          </w:tcPr>
          <w:p w14:paraId="4A13431D" w14:textId="5A3B2626" w:rsidR="00FC0F1A" w:rsidRPr="00495094" w:rsidRDefault="00FC0F1A" w:rsidP="002A7E4D">
            <w:pPr>
              <w:jc w:val="left"/>
              <w:rPr>
                <w:rFonts w:ascii="Arial" w:hAnsi="Arial" w:cs="Arial"/>
                <w:sz w:val="22"/>
                <w:szCs w:val="22"/>
              </w:rPr>
            </w:pPr>
            <w:r w:rsidRPr="00495094">
              <w:rPr>
                <w:rFonts w:ascii="Arial" w:hAnsi="Arial" w:cs="Arial"/>
                <w:sz w:val="22"/>
                <w:szCs w:val="22"/>
              </w:rPr>
              <w:t>Retail Treasury Bonds (05-16)</w:t>
            </w:r>
          </w:p>
        </w:tc>
        <w:tc>
          <w:tcPr>
            <w:tcW w:w="1809" w:type="dxa"/>
          </w:tcPr>
          <w:p w14:paraId="60029510" w14:textId="74038141" w:rsidR="00FC0F1A" w:rsidRPr="00495094" w:rsidRDefault="007A6FEC" w:rsidP="003B4029">
            <w:pPr>
              <w:ind w:right="-90"/>
              <w:jc w:val="right"/>
              <w:rPr>
                <w:rFonts w:ascii="Arial" w:hAnsi="Arial" w:cs="Arial"/>
                <w:sz w:val="22"/>
                <w:szCs w:val="22"/>
              </w:rPr>
            </w:pPr>
            <w:r w:rsidRPr="00495094">
              <w:rPr>
                <w:rFonts w:ascii="Arial" w:hAnsi="Arial" w:cs="Arial"/>
                <w:sz w:val="22"/>
                <w:szCs w:val="22"/>
              </w:rPr>
              <w:t>1,29</w:t>
            </w:r>
            <w:r w:rsidR="003B4029" w:rsidRPr="00495094">
              <w:rPr>
                <w:rFonts w:ascii="Arial" w:hAnsi="Arial" w:cs="Arial"/>
                <w:sz w:val="22"/>
                <w:szCs w:val="22"/>
              </w:rPr>
              <w:t>0</w:t>
            </w:r>
            <w:r w:rsidRPr="00495094">
              <w:rPr>
                <w:rFonts w:ascii="Arial" w:hAnsi="Arial" w:cs="Arial"/>
                <w:sz w:val="22"/>
                <w:szCs w:val="22"/>
              </w:rPr>
              <w:t>,</w:t>
            </w:r>
            <w:r w:rsidR="003B4029" w:rsidRPr="00495094">
              <w:rPr>
                <w:rFonts w:ascii="Arial" w:hAnsi="Arial" w:cs="Arial"/>
                <w:sz w:val="22"/>
                <w:szCs w:val="22"/>
              </w:rPr>
              <w:t>687</w:t>
            </w:r>
            <w:r w:rsidRPr="00495094">
              <w:rPr>
                <w:rFonts w:ascii="Arial" w:hAnsi="Arial" w:cs="Arial"/>
                <w:sz w:val="22"/>
                <w:szCs w:val="22"/>
              </w:rPr>
              <w:t>,</w:t>
            </w:r>
            <w:r w:rsidR="003B4029" w:rsidRPr="00495094">
              <w:rPr>
                <w:rFonts w:ascii="Arial" w:hAnsi="Arial" w:cs="Arial"/>
                <w:sz w:val="22"/>
                <w:szCs w:val="22"/>
              </w:rPr>
              <w:t>648</w:t>
            </w:r>
          </w:p>
        </w:tc>
        <w:tc>
          <w:tcPr>
            <w:tcW w:w="1735" w:type="dxa"/>
          </w:tcPr>
          <w:p w14:paraId="5E1D655F" w14:textId="5A8E9C9B" w:rsidR="00FC0F1A" w:rsidRPr="00495094" w:rsidRDefault="005A7E00" w:rsidP="003315ED">
            <w:pPr>
              <w:ind w:right="80"/>
              <w:jc w:val="right"/>
              <w:rPr>
                <w:rFonts w:ascii="Arial" w:hAnsi="Arial" w:cs="Arial"/>
                <w:sz w:val="22"/>
                <w:szCs w:val="22"/>
              </w:rPr>
            </w:pPr>
            <w:r w:rsidRPr="00495094">
              <w:rPr>
                <w:rFonts w:ascii="Arial" w:hAnsi="Arial" w:cs="Arial"/>
                <w:sz w:val="22"/>
                <w:szCs w:val="22"/>
              </w:rPr>
              <w:t xml:space="preserve">0     </w:t>
            </w:r>
          </w:p>
        </w:tc>
      </w:tr>
      <w:tr w:rsidR="00495094" w:rsidRPr="00495094" w14:paraId="7B386AA8" w14:textId="77777777" w:rsidTr="00C67704">
        <w:tc>
          <w:tcPr>
            <w:tcW w:w="4570" w:type="dxa"/>
            <w:vAlign w:val="center"/>
          </w:tcPr>
          <w:p w14:paraId="6E2DCA1B" w14:textId="07B8C672" w:rsidR="00FC0F1A" w:rsidRPr="00495094" w:rsidRDefault="007A6FEC" w:rsidP="003B4029">
            <w:pPr>
              <w:jc w:val="left"/>
              <w:rPr>
                <w:rFonts w:ascii="Arial" w:hAnsi="Arial" w:cs="Arial"/>
                <w:sz w:val="22"/>
                <w:szCs w:val="22"/>
              </w:rPr>
            </w:pPr>
            <w:r w:rsidRPr="00495094">
              <w:rPr>
                <w:rFonts w:ascii="Arial" w:hAnsi="Arial" w:cs="Arial"/>
                <w:sz w:val="22"/>
                <w:szCs w:val="22"/>
              </w:rPr>
              <w:t>S</w:t>
            </w:r>
            <w:r w:rsidR="002A7E4D" w:rsidRPr="00495094">
              <w:rPr>
                <w:rFonts w:ascii="Arial" w:hAnsi="Arial" w:cs="Arial"/>
                <w:sz w:val="22"/>
                <w:szCs w:val="22"/>
              </w:rPr>
              <w:t xml:space="preserve">an </w:t>
            </w:r>
            <w:r w:rsidRPr="00495094">
              <w:rPr>
                <w:rFonts w:ascii="Arial" w:hAnsi="Arial" w:cs="Arial"/>
                <w:sz w:val="22"/>
                <w:szCs w:val="22"/>
              </w:rPr>
              <w:t>M</w:t>
            </w:r>
            <w:r w:rsidR="002A7E4D" w:rsidRPr="00495094">
              <w:rPr>
                <w:rFonts w:ascii="Arial" w:hAnsi="Arial" w:cs="Arial"/>
                <w:sz w:val="22"/>
                <w:szCs w:val="22"/>
              </w:rPr>
              <w:t xml:space="preserve">iquel </w:t>
            </w:r>
            <w:r w:rsidRPr="00495094">
              <w:rPr>
                <w:rFonts w:ascii="Arial" w:hAnsi="Arial" w:cs="Arial"/>
                <w:sz w:val="22"/>
                <w:szCs w:val="22"/>
              </w:rPr>
              <w:t>C</w:t>
            </w:r>
            <w:r w:rsidR="002A7E4D" w:rsidRPr="00495094">
              <w:rPr>
                <w:rFonts w:ascii="Arial" w:hAnsi="Arial" w:cs="Arial"/>
                <w:sz w:val="22"/>
                <w:szCs w:val="22"/>
              </w:rPr>
              <w:t>orp</w:t>
            </w:r>
            <w:r w:rsidR="003B4029" w:rsidRPr="00495094">
              <w:rPr>
                <w:rFonts w:ascii="Arial" w:hAnsi="Arial" w:cs="Arial"/>
                <w:sz w:val="22"/>
                <w:szCs w:val="22"/>
              </w:rPr>
              <w:t>oration</w:t>
            </w:r>
            <w:r w:rsidR="002A7E4D" w:rsidRPr="00495094">
              <w:rPr>
                <w:rFonts w:ascii="Arial" w:hAnsi="Arial" w:cs="Arial"/>
                <w:sz w:val="22"/>
                <w:szCs w:val="22"/>
              </w:rPr>
              <w:t xml:space="preserve"> </w:t>
            </w:r>
            <w:r w:rsidRPr="00495094">
              <w:rPr>
                <w:rFonts w:ascii="Arial" w:hAnsi="Arial" w:cs="Arial"/>
                <w:sz w:val="22"/>
                <w:szCs w:val="22"/>
              </w:rPr>
              <w:t>GP Bonds</w:t>
            </w:r>
          </w:p>
        </w:tc>
        <w:tc>
          <w:tcPr>
            <w:tcW w:w="1809" w:type="dxa"/>
          </w:tcPr>
          <w:p w14:paraId="6DAF53A2" w14:textId="7BC8CF1B" w:rsidR="00FC0F1A" w:rsidRPr="00495094" w:rsidRDefault="007A6FEC" w:rsidP="007A6FEC">
            <w:pPr>
              <w:ind w:right="-90"/>
              <w:jc w:val="right"/>
              <w:rPr>
                <w:rFonts w:ascii="Arial" w:hAnsi="Arial" w:cs="Arial"/>
                <w:sz w:val="22"/>
                <w:szCs w:val="22"/>
              </w:rPr>
            </w:pPr>
            <w:r w:rsidRPr="00495094">
              <w:rPr>
                <w:rFonts w:ascii="Arial" w:hAnsi="Arial" w:cs="Arial"/>
                <w:sz w:val="22"/>
                <w:szCs w:val="22"/>
              </w:rPr>
              <w:t>59,830,000</w:t>
            </w:r>
          </w:p>
        </w:tc>
        <w:tc>
          <w:tcPr>
            <w:tcW w:w="1735" w:type="dxa"/>
          </w:tcPr>
          <w:p w14:paraId="7A28685B" w14:textId="2C1ABB47" w:rsidR="00FC0F1A" w:rsidRPr="00495094" w:rsidRDefault="005A7E00" w:rsidP="003315ED">
            <w:pPr>
              <w:ind w:right="80"/>
              <w:jc w:val="right"/>
              <w:rPr>
                <w:rFonts w:ascii="Arial" w:hAnsi="Arial" w:cs="Arial"/>
                <w:sz w:val="22"/>
                <w:szCs w:val="22"/>
              </w:rPr>
            </w:pPr>
            <w:r w:rsidRPr="00495094">
              <w:rPr>
                <w:rFonts w:ascii="Arial" w:hAnsi="Arial" w:cs="Arial"/>
                <w:sz w:val="22"/>
                <w:szCs w:val="22"/>
              </w:rPr>
              <w:t>0</w:t>
            </w:r>
          </w:p>
        </w:tc>
      </w:tr>
      <w:tr w:rsidR="00495094" w:rsidRPr="00495094" w14:paraId="7AF7D489" w14:textId="77777777" w:rsidTr="00C67704">
        <w:tc>
          <w:tcPr>
            <w:tcW w:w="4570" w:type="dxa"/>
            <w:tcBorders>
              <w:bottom w:val="single" w:sz="4" w:space="0" w:color="auto"/>
            </w:tcBorders>
            <w:vAlign w:val="center"/>
          </w:tcPr>
          <w:p w14:paraId="3E60BC1F" w14:textId="00927D99" w:rsidR="00FC0F1A" w:rsidRPr="00495094" w:rsidRDefault="007A6FEC" w:rsidP="00256888">
            <w:pPr>
              <w:jc w:val="left"/>
              <w:rPr>
                <w:rFonts w:ascii="Arial" w:hAnsi="Arial" w:cs="Arial"/>
                <w:sz w:val="22"/>
                <w:szCs w:val="22"/>
              </w:rPr>
            </w:pPr>
            <w:r w:rsidRPr="00495094">
              <w:rPr>
                <w:rFonts w:ascii="Arial" w:hAnsi="Arial" w:cs="Arial"/>
                <w:sz w:val="22"/>
                <w:szCs w:val="22"/>
              </w:rPr>
              <w:t>R</w:t>
            </w:r>
            <w:r w:rsidR="002A7E4D" w:rsidRPr="00495094">
              <w:rPr>
                <w:rFonts w:ascii="Arial" w:hAnsi="Arial" w:cs="Arial"/>
                <w:sz w:val="22"/>
                <w:szCs w:val="22"/>
              </w:rPr>
              <w:t xml:space="preserve">obinson </w:t>
            </w:r>
            <w:r w:rsidRPr="00495094">
              <w:rPr>
                <w:rFonts w:ascii="Arial" w:hAnsi="Arial" w:cs="Arial"/>
                <w:sz w:val="22"/>
                <w:szCs w:val="22"/>
              </w:rPr>
              <w:t>L</w:t>
            </w:r>
            <w:r w:rsidR="002A7E4D" w:rsidRPr="00495094">
              <w:rPr>
                <w:rFonts w:ascii="Arial" w:hAnsi="Arial" w:cs="Arial"/>
                <w:sz w:val="22"/>
                <w:szCs w:val="22"/>
              </w:rPr>
              <w:t xml:space="preserve">and </w:t>
            </w:r>
            <w:r w:rsidRPr="00495094">
              <w:rPr>
                <w:rFonts w:ascii="Arial" w:hAnsi="Arial" w:cs="Arial"/>
                <w:sz w:val="22"/>
                <w:szCs w:val="22"/>
              </w:rPr>
              <w:t>C</w:t>
            </w:r>
            <w:r w:rsidR="002A7E4D" w:rsidRPr="00495094">
              <w:rPr>
                <w:rFonts w:ascii="Arial" w:hAnsi="Arial" w:cs="Arial"/>
                <w:sz w:val="22"/>
                <w:szCs w:val="22"/>
              </w:rPr>
              <w:t>orporation</w:t>
            </w:r>
            <w:r w:rsidRPr="00495094">
              <w:rPr>
                <w:rFonts w:ascii="Arial" w:hAnsi="Arial" w:cs="Arial"/>
                <w:sz w:val="22"/>
                <w:szCs w:val="22"/>
              </w:rPr>
              <w:t xml:space="preserve"> Bonds</w:t>
            </w:r>
          </w:p>
        </w:tc>
        <w:tc>
          <w:tcPr>
            <w:tcW w:w="1809" w:type="dxa"/>
            <w:tcBorders>
              <w:bottom w:val="single" w:sz="4" w:space="0" w:color="auto"/>
            </w:tcBorders>
          </w:tcPr>
          <w:p w14:paraId="201DCC4D" w14:textId="27235AFC" w:rsidR="00FC0F1A" w:rsidRPr="00495094" w:rsidRDefault="007A6FEC" w:rsidP="00256888">
            <w:pPr>
              <w:ind w:right="-108"/>
              <w:jc w:val="right"/>
              <w:rPr>
                <w:rFonts w:ascii="Arial" w:hAnsi="Arial" w:cs="Arial"/>
                <w:sz w:val="22"/>
                <w:szCs w:val="22"/>
              </w:rPr>
            </w:pPr>
            <w:r w:rsidRPr="00495094">
              <w:rPr>
                <w:rFonts w:ascii="Arial" w:hAnsi="Arial" w:cs="Arial"/>
                <w:sz w:val="22"/>
                <w:szCs w:val="22"/>
              </w:rPr>
              <w:t>62,200,000</w:t>
            </w:r>
          </w:p>
        </w:tc>
        <w:tc>
          <w:tcPr>
            <w:tcW w:w="1735" w:type="dxa"/>
            <w:tcBorders>
              <w:bottom w:val="single" w:sz="4" w:space="0" w:color="auto"/>
            </w:tcBorders>
          </w:tcPr>
          <w:p w14:paraId="3233740D" w14:textId="188F6BE3" w:rsidR="00FC0F1A" w:rsidRPr="00495094" w:rsidRDefault="005A7E00" w:rsidP="003315ED">
            <w:pPr>
              <w:ind w:right="80"/>
              <w:jc w:val="right"/>
              <w:rPr>
                <w:rFonts w:ascii="Arial" w:hAnsi="Arial" w:cs="Arial"/>
                <w:sz w:val="22"/>
                <w:szCs w:val="22"/>
              </w:rPr>
            </w:pPr>
            <w:r w:rsidRPr="00495094">
              <w:rPr>
                <w:rFonts w:ascii="Arial" w:hAnsi="Arial" w:cs="Arial"/>
                <w:sz w:val="22"/>
                <w:szCs w:val="22"/>
              </w:rPr>
              <w:t>0</w:t>
            </w:r>
          </w:p>
        </w:tc>
      </w:tr>
      <w:tr w:rsidR="00495094" w:rsidRPr="00495094" w14:paraId="718F0041" w14:textId="77777777" w:rsidTr="00C67704">
        <w:tc>
          <w:tcPr>
            <w:tcW w:w="4570" w:type="dxa"/>
            <w:tcBorders>
              <w:top w:val="single" w:sz="4" w:space="0" w:color="auto"/>
              <w:bottom w:val="double" w:sz="4" w:space="0" w:color="auto"/>
            </w:tcBorders>
          </w:tcPr>
          <w:p w14:paraId="10A1865B" w14:textId="32653DBB" w:rsidR="00FC0F1A" w:rsidRPr="00495094" w:rsidRDefault="007A6FEC" w:rsidP="00256888">
            <w:pPr>
              <w:rPr>
                <w:rFonts w:ascii="Arial" w:hAnsi="Arial" w:cs="Arial"/>
                <w:sz w:val="22"/>
                <w:szCs w:val="22"/>
              </w:rPr>
            </w:pPr>
            <w:r w:rsidRPr="00495094">
              <w:rPr>
                <w:rFonts w:ascii="Arial" w:hAnsi="Arial" w:cs="Arial"/>
                <w:sz w:val="22"/>
                <w:szCs w:val="22"/>
              </w:rPr>
              <w:t xml:space="preserve">                            Total</w:t>
            </w:r>
          </w:p>
        </w:tc>
        <w:tc>
          <w:tcPr>
            <w:tcW w:w="1809" w:type="dxa"/>
            <w:tcBorders>
              <w:top w:val="single" w:sz="4" w:space="0" w:color="auto"/>
              <w:bottom w:val="double" w:sz="4" w:space="0" w:color="auto"/>
            </w:tcBorders>
          </w:tcPr>
          <w:p w14:paraId="1FAC0AD5" w14:textId="20764616" w:rsidR="00FC0F1A" w:rsidRPr="00495094" w:rsidRDefault="007A6FEC" w:rsidP="003B4029">
            <w:pPr>
              <w:ind w:right="-90"/>
              <w:jc w:val="right"/>
              <w:rPr>
                <w:rFonts w:ascii="Arial" w:hAnsi="Arial" w:cs="Arial"/>
                <w:sz w:val="22"/>
                <w:szCs w:val="22"/>
              </w:rPr>
            </w:pPr>
            <w:r w:rsidRPr="00495094">
              <w:rPr>
                <w:rFonts w:ascii="Arial" w:hAnsi="Arial" w:cs="Arial"/>
                <w:sz w:val="22"/>
                <w:szCs w:val="22"/>
              </w:rPr>
              <w:t>1,41</w:t>
            </w:r>
            <w:r w:rsidR="003B4029" w:rsidRPr="00495094">
              <w:rPr>
                <w:rFonts w:ascii="Arial" w:hAnsi="Arial" w:cs="Arial"/>
                <w:sz w:val="22"/>
                <w:szCs w:val="22"/>
              </w:rPr>
              <w:t>2</w:t>
            </w:r>
            <w:r w:rsidRPr="00495094">
              <w:rPr>
                <w:rFonts w:ascii="Arial" w:hAnsi="Arial" w:cs="Arial"/>
                <w:sz w:val="22"/>
                <w:szCs w:val="22"/>
              </w:rPr>
              <w:t>,</w:t>
            </w:r>
            <w:r w:rsidR="003B4029" w:rsidRPr="00495094">
              <w:rPr>
                <w:rFonts w:ascii="Arial" w:hAnsi="Arial" w:cs="Arial"/>
                <w:sz w:val="22"/>
                <w:szCs w:val="22"/>
              </w:rPr>
              <w:t>715</w:t>
            </w:r>
            <w:r w:rsidRPr="00495094">
              <w:rPr>
                <w:rFonts w:ascii="Arial" w:hAnsi="Arial" w:cs="Arial"/>
                <w:sz w:val="22"/>
                <w:szCs w:val="22"/>
              </w:rPr>
              <w:t>,</w:t>
            </w:r>
            <w:r w:rsidR="003B4029" w:rsidRPr="00495094">
              <w:rPr>
                <w:rFonts w:ascii="Arial" w:hAnsi="Arial" w:cs="Arial"/>
                <w:sz w:val="22"/>
                <w:szCs w:val="22"/>
              </w:rPr>
              <w:t>648</w:t>
            </w:r>
          </w:p>
        </w:tc>
        <w:tc>
          <w:tcPr>
            <w:tcW w:w="1735" w:type="dxa"/>
            <w:tcBorders>
              <w:top w:val="single" w:sz="4" w:space="0" w:color="auto"/>
              <w:bottom w:val="double" w:sz="4" w:space="0" w:color="auto"/>
            </w:tcBorders>
          </w:tcPr>
          <w:p w14:paraId="26284294" w14:textId="512A95D1" w:rsidR="00FC0F1A" w:rsidRPr="00495094" w:rsidRDefault="005A7E00" w:rsidP="003315ED">
            <w:pPr>
              <w:ind w:right="80"/>
              <w:jc w:val="right"/>
              <w:rPr>
                <w:rFonts w:ascii="Arial" w:hAnsi="Arial" w:cs="Arial"/>
                <w:sz w:val="22"/>
                <w:szCs w:val="22"/>
              </w:rPr>
            </w:pPr>
            <w:r w:rsidRPr="00495094">
              <w:rPr>
                <w:rFonts w:ascii="Arial" w:hAnsi="Arial" w:cs="Arial"/>
                <w:sz w:val="22"/>
                <w:szCs w:val="22"/>
              </w:rPr>
              <w:t>0</w:t>
            </w:r>
            <w:r w:rsidR="008A7D9C" w:rsidRPr="00495094">
              <w:rPr>
                <w:rFonts w:ascii="Arial" w:hAnsi="Arial" w:cs="Arial"/>
                <w:sz w:val="22"/>
                <w:szCs w:val="22"/>
              </w:rPr>
              <w:t xml:space="preserve">   </w:t>
            </w:r>
          </w:p>
        </w:tc>
      </w:tr>
    </w:tbl>
    <w:p w14:paraId="19C1F8EB" w14:textId="5E6A9C65" w:rsidR="00455BD5" w:rsidRPr="00495094" w:rsidRDefault="00455BD5" w:rsidP="00216402">
      <w:pPr>
        <w:pStyle w:val="ListParagraph"/>
        <w:tabs>
          <w:tab w:val="left" w:pos="8550"/>
        </w:tabs>
        <w:rPr>
          <w:bCs/>
        </w:rPr>
      </w:pPr>
    </w:p>
    <w:p w14:paraId="3AFEAC77" w14:textId="77777777" w:rsidR="00BD0BCD" w:rsidRPr="00495094" w:rsidRDefault="00BD0BCD" w:rsidP="00216402">
      <w:pPr>
        <w:pStyle w:val="ListParagraph"/>
        <w:tabs>
          <w:tab w:val="left" w:pos="8550"/>
        </w:tabs>
        <w:rPr>
          <w:bCs/>
        </w:rPr>
      </w:pPr>
    </w:p>
    <w:p w14:paraId="0C3FE9AB" w14:textId="77777777" w:rsidR="006D37E3" w:rsidRPr="00495094" w:rsidRDefault="00B34369" w:rsidP="007F4EEC">
      <w:pPr>
        <w:numPr>
          <w:ilvl w:val="0"/>
          <w:numId w:val="12"/>
        </w:numPr>
        <w:ind w:left="720"/>
        <w:rPr>
          <w:rFonts w:ascii="Arial" w:hAnsi="Arial" w:cs="Arial"/>
          <w:b/>
          <w:bCs/>
          <w:sz w:val="22"/>
          <w:szCs w:val="22"/>
        </w:rPr>
      </w:pPr>
      <w:r w:rsidRPr="00495094">
        <w:rPr>
          <w:rFonts w:ascii="Arial" w:hAnsi="Arial" w:cs="Arial"/>
          <w:b/>
          <w:bCs/>
          <w:sz w:val="22"/>
          <w:szCs w:val="22"/>
        </w:rPr>
        <w:t>Loans and Receivables</w:t>
      </w:r>
      <w:r w:rsidR="00262187" w:rsidRPr="00495094">
        <w:rPr>
          <w:rFonts w:ascii="Arial" w:hAnsi="Arial" w:cs="Arial"/>
          <w:b/>
          <w:bCs/>
          <w:sz w:val="22"/>
          <w:szCs w:val="22"/>
        </w:rPr>
        <w:t xml:space="preserve"> - net</w:t>
      </w:r>
    </w:p>
    <w:p w14:paraId="0AF3F6A7" w14:textId="77777777" w:rsidR="002A7655" w:rsidRPr="00495094" w:rsidRDefault="002A7655" w:rsidP="008D0E35">
      <w:pPr>
        <w:ind w:left="2160"/>
        <w:rPr>
          <w:rFonts w:ascii="Arial" w:hAnsi="Arial" w:cs="Arial"/>
          <w:b/>
          <w:bCs/>
          <w:sz w:val="22"/>
          <w:szCs w:val="22"/>
        </w:rPr>
      </w:pPr>
    </w:p>
    <w:p w14:paraId="4C4A1A9E" w14:textId="77777777" w:rsidR="006D37E3" w:rsidRPr="00495094" w:rsidRDefault="006D37E3" w:rsidP="008D0E35">
      <w:pPr>
        <w:pStyle w:val="BodyTextIndent2"/>
        <w:ind w:left="0"/>
        <w:rPr>
          <w:rFonts w:ascii="Arial" w:hAnsi="Arial" w:cs="Arial"/>
          <w:sz w:val="22"/>
          <w:szCs w:val="22"/>
        </w:rPr>
      </w:pPr>
      <w:r w:rsidRPr="00495094">
        <w:rPr>
          <w:rFonts w:ascii="Arial" w:hAnsi="Arial" w:cs="Arial"/>
          <w:sz w:val="22"/>
          <w:szCs w:val="22"/>
        </w:rPr>
        <w:t>This account consists of:</w:t>
      </w:r>
    </w:p>
    <w:p w14:paraId="51EBF0D8" w14:textId="77777777" w:rsidR="006D37E3" w:rsidRPr="00495094" w:rsidRDefault="006D37E3" w:rsidP="008D0E35">
      <w:pPr>
        <w:pStyle w:val="BodyTextIndent2"/>
        <w:ind w:left="0"/>
        <w:rPr>
          <w:rFonts w:ascii="Arial" w:hAnsi="Arial" w:cs="Arial"/>
          <w:sz w:val="22"/>
          <w:szCs w:val="22"/>
        </w:rPr>
      </w:pPr>
    </w:p>
    <w:tbl>
      <w:tblPr>
        <w:tblW w:w="8178" w:type="dxa"/>
        <w:tblInd w:w="108" w:type="dxa"/>
        <w:tblLook w:val="04A0" w:firstRow="1" w:lastRow="0" w:firstColumn="1" w:lastColumn="0" w:noHBand="0" w:noVBand="1"/>
      </w:tblPr>
      <w:tblGrid>
        <w:gridCol w:w="4854"/>
        <w:gridCol w:w="1701"/>
        <w:gridCol w:w="1623"/>
      </w:tblGrid>
      <w:tr w:rsidR="00495094" w:rsidRPr="00495094" w14:paraId="0B041B2D" w14:textId="77777777" w:rsidTr="00C67704">
        <w:trPr>
          <w:tblHeader/>
        </w:trPr>
        <w:tc>
          <w:tcPr>
            <w:tcW w:w="4854" w:type="dxa"/>
            <w:tcBorders>
              <w:top w:val="single" w:sz="4" w:space="0" w:color="auto"/>
              <w:bottom w:val="single" w:sz="4" w:space="0" w:color="auto"/>
            </w:tcBorders>
            <w:shd w:val="clear" w:color="auto" w:fill="auto"/>
            <w:vAlign w:val="center"/>
          </w:tcPr>
          <w:p w14:paraId="63837951" w14:textId="77777777" w:rsidR="005633EB" w:rsidRPr="00495094" w:rsidRDefault="005633EB" w:rsidP="004E59FA">
            <w:pPr>
              <w:rPr>
                <w:rFonts w:ascii="Arial" w:hAnsi="Arial" w:cs="Arial"/>
                <w:sz w:val="22"/>
                <w:szCs w:val="22"/>
                <w:lang w:val="en-PH" w:eastAsia="en-PH"/>
              </w:rPr>
            </w:pPr>
            <w:r w:rsidRPr="00495094">
              <w:rPr>
                <w:rFonts w:ascii="Arial" w:hAnsi="Arial" w:cs="Arial"/>
                <w:sz w:val="22"/>
                <w:szCs w:val="22"/>
              </w:rPr>
              <w:t> </w:t>
            </w:r>
          </w:p>
        </w:tc>
        <w:tc>
          <w:tcPr>
            <w:tcW w:w="1701" w:type="dxa"/>
            <w:tcBorders>
              <w:top w:val="single" w:sz="4" w:space="0" w:color="auto"/>
              <w:bottom w:val="single" w:sz="4" w:space="0" w:color="auto"/>
            </w:tcBorders>
            <w:shd w:val="clear" w:color="auto" w:fill="auto"/>
          </w:tcPr>
          <w:p w14:paraId="45D1F304" w14:textId="0AC46DD0" w:rsidR="005633EB" w:rsidRPr="00495094" w:rsidRDefault="00822BE8" w:rsidP="00EB4BA5">
            <w:pPr>
              <w:jc w:val="center"/>
              <w:rPr>
                <w:rFonts w:ascii="Arial" w:hAnsi="Arial" w:cs="Arial"/>
                <w:b/>
                <w:bCs/>
                <w:sz w:val="22"/>
                <w:szCs w:val="22"/>
                <w:highlight w:val="yellow"/>
              </w:rPr>
            </w:pPr>
            <w:r w:rsidRPr="00495094">
              <w:rPr>
                <w:rFonts w:ascii="Arial" w:hAnsi="Arial" w:cs="Arial"/>
                <w:b/>
                <w:bCs/>
                <w:sz w:val="22"/>
                <w:szCs w:val="22"/>
              </w:rPr>
              <w:t>202</w:t>
            </w:r>
            <w:r w:rsidR="00EB4BA5" w:rsidRPr="00495094">
              <w:rPr>
                <w:rFonts w:ascii="Arial" w:hAnsi="Arial" w:cs="Arial"/>
                <w:b/>
                <w:bCs/>
                <w:sz w:val="22"/>
                <w:szCs w:val="22"/>
              </w:rPr>
              <w:t>2</w:t>
            </w:r>
          </w:p>
        </w:tc>
        <w:tc>
          <w:tcPr>
            <w:tcW w:w="1623" w:type="dxa"/>
            <w:tcBorders>
              <w:top w:val="single" w:sz="4" w:space="0" w:color="auto"/>
              <w:bottom w:val="single" w:sz="4" w:space="0" w:color="auto"/>
            </w:tcBorders>
            <w:shd w:val="clear" w:color="auto" w:fill="auto"/>
          </w:tcPr>
          <w:p w14:paraId="2264AB15" w14:textId="53F0FEC3" w:rsidR="005633EB" w:rsidRPr="00495094" w:rsidRDefault="000610A9" w:rsidP="00822BE8">
            <w:pPr>
              <w:jc w:val="center"/>
              <w:rPr>
                <w:rFonts w:ascii="Arial" w:hAnsi="Arial" w:cs="Arial"/>
                <w:b/>
                <w:bCs/>
                <w:sz w:val="22"/>
                <w:szCs w:val="22"/>
              </w:rPr>
            </w:pPr>
            <w:r w:rsidRPr="00495094">
              <w:rPr>
                <w:rFonts w:ascii="Arial" w:hAnsi="Arial" w:cs="Arial"/>
                <w:b/>
                <w:bCs/>
                <w:sz w:val="22"/>
                <w:szCs w:val="22"/>
              </w:rPr>
              <w:t>20</w:t>
            </w:r>
            <w:r w:rsidR="00EB4BA5" w:rsidRPr="00495094">
              <w:rPr>
                <w:rFonts w:ascii="Arial" w:hAnsi="Arial" w:cs="Arial"/>
                <w:b/>
                <w:bCs/>
                <w:sz w:val="22"/>
                <w:szCs w:val="22"/>
              </w:rPr>
              <w:t>21</w:t>
            </w:r>
            <w:r w:rsidR="005633EB" w:rsidRPr="00495094">
              <w:rPr>
                <w:rFonts w:ascii="Arial" w:hAnsi="Arial" w:cs="Arial"/>
                <w:b/>
                <w:bCs/>
                <w:sz w:val="22"/>
                <w:szCs w:val="22"/>
              </w:rPr>
              <w:t xml:space="preserve">     </w:t>
            </w:r>
          </w:p>
        </w:tc>
      </w:tr>
      <w:tr w:rsidR="00495094" w:rsidRPr="00495094" w14:paraId="3652FABA" w14:textId="77777777" w:rsidTr="00C67704">
        <w:tc>
          <w:tcPr>
            <w:tcW w:w="4854" w:type="dxa"/>
            <w:shd w:val="clear" w:color="auto" w:fill="auto"/>
            <w:vAlign w:val="center"/>
          </w:tcPr>
          <w:p w14:paraId="6A5E67F3" w14:textId="3D2125D5" w:rsidR="00822BE8" w:rsidRPr="00495094" w:rsidRDefault="00822BE8" w:rsidP="00822BE8">
            <w:pPr>
              <w:jc w:val="left"/>
              <w:rPr>
                <w:rFonts w:ascii="Arial" w:hAnsi="Arial" w:cs="Arial"/>
                <w:sz w:val="22"/>
                <w:szCs w:val="22"/>
              </w:rPr>
            </w:pPr>
            <w:r w:rsidRPr="00495094">
              <w:rPr>
                <w:rFonts w:ascii="Arial" w:hAnsi="Arial" w:cs="Arial"/>
                <w:sz w:val="22"/>
                <w:szCs w:val="22"/>
              </w:rPr>
              <w:t xml:space="preserve">Loans to Individuals for Other Purposes         </w:t>
            </w:r>
          </w:p>
        </w:tc>
        <w:tc>
          <w:tcPr>
            <w:tcW w:w="1701" w:type="dxa"/>
            <w:tcBorders>
              <w:top w:val="single" w:sz="4" w:space="0" w:color="auto"/>
            </w:tcBorders>
            <w:shd w:val="clear" w:color="auto" w:fill="auto"/>
            <w:vAlign w:val="center"/>
          </w:tcPr>
          <w:p w14:paraId="42C6B257" w14:textId="701688B5" w:rsidR="00822BE8" w:rsidRPr="00495094" w:rsidRDefault="00EB4BA5" w:rsidP="00822BE8">
            <w:pPr>
              <w:jc w:val="right"/>
              <w:rPr>
                <w:rFonts w:ascii="Arial" w:hAnsi="Arial" w:cs="Arial"/>
                <w:sz w:val="22"/>
                <w:szCs w:val="22"/>
              </w:rPr>
            </w:pPr>
            <w:r w:rsidRPr="00495094">
              <w:rPr>
                <w:rFonts w:ascii="Arial" w:hAnsi="Arial" w:cs="Arial"/>
                <w:sz w:val="22"/>
                <w:szCs w:val="22"/>
              </w:rPr>
              <w:t>1,866,120,069</w:t>
            </w:r>
          </w:p>
        </w:tc>
        <w:tc>
          <w:tcPr>
            <w:tcW w:w="1623" w:type="dxa"/>
            <w:shd w:val="clear" w:color="auto" w:fill="auto"/>
            <w:vAlign w:val="center"/>
          </w:tcPr>
          <w:p w14:paraId="5BB47E02" w14:textId="205B00A5" w:rsidR="00822BE8" w:rsidRPr="00495094" w:rsidRDefault="00EB4BA5" w:rsidP="00822BE8">
            <w:pPr>
              <w:jc w:val="right"/>
              <w:rPr>
                <w:rFonts w:ascii="Arial" w:hAnsi="Arial" w:cs="Arial"/>
                <w:sz w:val="22"/>
                <w:szCs w:val="22"/>
              </w:rPr>
            </w:pPr>
            <w:r w:rsidRPr="00495094">
              <w:rPr>
                <w:rFonts w:ascii="Arial" w:hAnsi="Arial" w:cs="Arial"/>
                <w:sz w:val="22"/>
                <w:szCs w:val="22"/>
              </w:rPr>
              <w:t>2,158,501</w:t>
            </w:r>
          </w:p>
        </w:tc>
      </w:tr>
      <w:tr w:rsidR="00495094" w:rsidRPr="00495094" w14:paraId="34AB295D" w14:textId="77777777" w:rsidTr="00C67704">
        <w:tc>
          <w:tcPr>
            <w:tcW w:w="4854" w:type="dxa"/>
            <w:tcBorders>
              <w:bottom w:val="single" w:sz="4" w:space="0" w:color="auto"/>
            </w:tcBorders>
            <w:shd w:val="clear" w:color="auto" w:fill="auto"/>
            <w:vAlign w:val="center"/>
          </w:tcPr>
          <w:p w14:paraId="12B9283D" w14:textId="77777777" w:rsidR="00822BE8" w:rsidRPr="00495094" w:rsidRDefault="00822BE8" w:rsidP="00822BE8">
            <w:pPr>
              <w:rPr>
                <w:rFonts w:ascii="Arial" w:hAnsi="Arial" w:cs="Arial"/>
                <w:sz w:val="22"/>
                <w:szCs w:val="22"/>
              </w:rPr>
            </w:pPr>
            <w:r w:rsidRPr="00495094">
              <w:rPr>
                <w:rFonts w:ascii="Arial" w:hAnsi="Arial" w:cs="Arial"/>
                <w:sz w:val="22"/>
                <w:szCs w:val="22"/>
              </w:rPr>
              <w:t>Allowance for Losses</w:t>
            </w:r>
          </w:p>
        </w:tc>
        <w:tc>
          <w:tcPr>
            <w:tcW w:w="1701" w:type="dxa"/>
            <w:tcBorders>
              <w:bottom w:val="single" w:sz="4" w:space="0" w:color="auto"/>
            </w:tcBorders>
            <w:shd w:val="clear" w:color="auto" w:fill="auto"/>
            <w:vAlign w:val="center"/>
          </w:tcPr>
          <w:p w14:paraId="64496B9F" w14:textId="688953B3" w:rsidR="00822BE8" w:rsidRPr="00495094" w:rsidRDefault="00822BE8" w:rsidP="00722F5C">
            <w:pPr>
              <w:ind w:right="-59"/>
              <w:jc w:val="right"/>
              <w:rPr>
                <w:rFonts w:ascii="Arial" w:hAnsi="Arial" w:cs="Arial"/>
                <w:sz w:val="22"/>
                <w:szCs w:val="22"/>
              </w:rPr>
            </w:pPr>
            <w:r w:rsidRPr="00495094">
              <w:rPr>
                <w:rFonts w:ascii="Arial" w:hAnsi="Arial" w:cs="Arial"/>
                <w:sz w:val="22"/>
                <w:szCs w:val="22"/>
              </w:rPr>
              <w:t>(</w:t>
            </w:r>
            <w:r w:rsidR="006A59ED" w:rsidRPr="00495094">
              <w:rPr>
                <w:rFonts w:ascii="Arial" w:hAnsi="Arial" w:cs="Arial"/>
                <w:sz w:val="22"/>
                <w:szCs w:val="22"/>
              </w:rPr>
              <w:t>31</w:t>
            </w:r>
            <w:r w:rsidR="00216402" w:rsidRPr="00495094">
              <w:rPr>
                <w:rFonts w:ascii="Arial" w:hAnsi="Arial" w:cs="Arial"/>
                <w:sz w:val="22"/>
                <w:szCs w:val="22"/>
              </w:rPr>
              <w:t>,</w:t>
            </w:r>
            <w:r w:rsidR="006A59ED" w:rsidRPr="00495094">
              <w:rPr>
                <w:rFonts w:ascii="Arial" w:hAnsi="Arial" w:cs="Arial"/>
                <w:sz w:val="22"/>
                <w:szCs w:val="22"/>
              </w:rPr>
              <w:t>306</w:t>
            </w:r>
            <w:r w:rsidR="00EB4BA5" w:rsidRPr="00495094">
              <w:rPr>
                <w:rFonts w:ascii="Arial" w:hAnsi="Arial" w:cs="Arial"/>
                <w:sz w:val="22"/>
                <w:szCs w:val="22"/>
              </w:rPr>
              <w:t>,</w:t>
            </w:r>
            <w:r w:rsidR="006A59ED" w:rsidRPr="00495094">
              <w:rPr>
                <w:rFonts w:ascii="Arial" w:hAnsi="Arial" w:cs="Arial"/>
                <w:sz w:val="22"/>
                <w:szCs w:val="22"/>
              </w:rPr>
              <w:t>70</w:t>
            </w:r>
            <w:r w:rsidR="00722F5C" w:rsidRPr="00495094">
              <w:rPr>
                <w:rFonts w:ascii="Arial" w:hAnsi="Arial" w:cs="Arial"/>
                <w:sz w:val="22"/>
                <w:szCs w:val="22"/>
              </w:rPr>
              <w:t>8</w:t>
            </w:r>
            <w:r w:rsidRPr="00495094">
              <w:rPr>
                <w:rFonts w:ascii="Arial" w:hAnsi="Arial" w:cs="Arial"/>
                <w:sz w:val="22"/>
                <w:szCs w:val="22"/>
              </w:rPr>
              <w:t>)</w:t>
            </w:r>
          </w:p>
        </w:tc>
        <w:tc>
          <w:tcPr>
            <w:tcW w:w="1623" w:type="dxa"/>
            <w:tcBorders>
              <w:bottom w:val="single" w:sz="4" w:space="0" w:color="auto"/>
            </w:tcBorders>
            <w:shd w:val="clear" w:color="auto" w:fill="auto"/>
            <w:vAlign w:val="center"/>
          </w:tcPr>
          <w:p w14:paraId="6FB2AD31" w14:textId="5627D0E7" w:rsidR="00822BE8" w:rsidRPr="00495094" w:rsidRDefault="00EB4BA5" w:rsidP="00822BE8">
            <w:pPr>
              <w:ind w:right="-56"/>
              <w:jc w:val="right"/>
              <w:rPr>
                <w:rFonts w:ascii="Arial" w:hAnsi="Arial" w:cs="Arial"/>
                <w:sz w:val="22"/>
                <w:szCs w:val="22"/>
              </w:rPr>
            </w:pPr>
            <w:r w:rsidRPr="00495094">
              <w:rPr>
                <w:rFonts w:ascii="Arial" w:hAnsi="Arial" w:cs="Arial"/>
                <w:sz w:val="22"/>
                <w:szCs w:val="22"/>
              </w:rPr>
              <w:t>(2,126</w:t>
            </w:r>
            <w:r w:rsidR="00915FD7">
              <w:rPr>
                <w:rFonts w:ascii="Arial" w:hAnsi="Arial" w:cs="Arial"/>
                <w:sz w:val="22"/>
                <w:szCs w:val="22"/>
              </w:rPr>
              <w:t>,</w:t>
            </w:r>
            <w:r w:rsidRPr="00495094">
              <w:rPr>
                <w:rFonts w:ascii="Arial" w:hAnsi="Arial" w:cs="Arial"/>
                <w:sz w:val="22"/>
                <w:szCs w:val="22"/>
              </w:rPr>
              <w:t>413</w:t>
            </w:r>
            <w:r w:rsidR="00822BE8" w:rsidRPr="00495094">
              <w:rPr>
                <w:rFonts w:ascii="Arial" w:hAnsi="Arial" w:cs="Arial"/>
                <w:sz w:val="22"/>
                <w:szCs w:val="22"/>
              </w:rPr>
              <w:t>)</w:t>
            </w:r>
          </w:p>
        </w:tc>
      </w:tr>
      <w:tr w:rsidR="00495094" w:rsidRPr="00495094" w14:paraId="18A53815" w14:textId="77777777" w:rsidTr="00C67704">
        <w:tc>
          <w:tcPr>
            <w:tcW w:w="4854" w:type="dxa"/>
            <w:tcBorders>
              <w:top w:val="single" w:sz="4" w:space="0" w:color="auto"/>
              <w:bottom w:val="double" w:sz="4" w:space="0" w:color="auto"/>
            </w:tcBorders>
            <w:shd w:val="clear" w:color="auto" w:fill="auto"/>
            <w:vAlign w:val="center"/>
          </w:tcPr>
          <w:p w14:paraId="255E924E" w14:textId="562C162C" w:rsidR="00822BE8" w:rsidRPr="00495094" w:rsidRDefault="00822BE8" w:rsidP="00822BE8">
            <w:pPr>
              <w:rPr>
                <w:rFonts w:ascii="Arial" w:hAnsi="Arial" w:cs="Arial"/>
                <w:sz w:val="22"/>
                <w:szCs w:val="22"/>
              </w:rPr>
            </w:pPr>
            <w:r w:rsidRPr="00495094">
              <w:rPr>
                <w:rFonts w:ascii="Arial" w:hAnsi="Arial" w:cs="Arial"/>
                <w:sz w:val="22"/>
                <w:szCs w:val="22"/>
              </w:rPr>
              <w:t>Net of Allowance</w:t>
            </w:r>
            <w:r w:rsidR="00B345D2" w:rsidRPr="00495094">
              <w:rPr>
                <w:rFonts w:ascii="Arial" w:hAnsi="Arial" w:cs="Arial"/>
                <w:sz w:val="22"/>
                <w:szCs w:val="22"/>
              </w:rPr>
              <w:t xml:space="preserve"> </w:t>
            </w:r>
          </w:p>
        </w:tc>
        <w:tc>
          <w:tcPr>
            <w:tcW w:w="1701" w:type="dxa"/>
            <w:tcBorders>
              <w:top w:val="single" w:sz="4" w:space="0" w:color="auto"/>
              <w:bottom w:val="double" w:sz="4" w:space="0" w:color="auto"/>
            </w:tcBorders>
            <w:shd w:val="clear" w:color="auto" w:fill="auto"/>
            <w:vAlign w:val="center"/>
          </w:tcPr>
          <w:p w14:paraId="381F72AF" w14:textId="74486F27" w:rsidR="00822BE8" w:rsidRPr="00495094" w:rsidRDefault="00EB4BA5" w:rsidP="00722F5C">
            <w:pPr>
              <w:jc w:val="right"/>
              <w:rPr>
                <w:rFonts w:ascii="Arial" w:hAnsi="Arial" w:cs="Arial"/>
                <w:bCs/>
                <w:sz w:val="22"/>
                <w:szCs w:val="22"/>
              </w:rPr>
            </w:pPr>
            <w:r w:rsidRPr="00495094">
              <w:rPr>
                <w:rFonts w:ascii="Arial" w:hAnsi="Arial" w:cs="Arial"/>
                <w:bCs/>
                <w:sz w:val="22"/>
                <w:szCs w:val="22"/>
              </w:rPr>
              <w:t>1,8</w:t>
            </w:r>
            <w:r w:rsidR="000019BE" w:rsidRPr="00495094">
              <w:rPr>
                <w:rFonts w:ascii="Arial" w:hAnsi="Arial" w:cs="Arial"/>
                <w:bCs/>
                <w:sz w:val="22"/>
                <w:szCs w:val="22"/>
              </w:rPr>
              <w:t>3</w:t>
            </w:r>
            <w:r w:rsidR="006A59ED" w:rsidRPr="00495094">
              <w:rPr>
                <w:rFonts w:ascii="Arial" w:hAnsi="Arial" w:cs="Arial"/>
                <w:bCs/>
                <w:sz w:val="22"/>
                <w:szCs w:val="22"/>
              </w:rPr>
              <w:t>4</w:t>
            </w:r>
            <w:r w:rsidRPr="00495094">
              <w:rPr>
                <w:rFonts w:ascii="Arial" w:hAnsi="Arial" w:cs="Arial"/>
                <w:bCs/>
                <w:sz w:val="22"/>
                <w:szCs w:val="22"/>
              </w:rPr>
              <w:t>,</w:t>
            </w:r>
            <w:r w:rsidR="006A59ED" w:rsidRPr="00495094">
              <w:rPr>
                <w:rFonts w:ascii="Arial" w:hAnsi="Arial" w:cs="Arial"/>
                <w:bCs/>
                <w:sz w:val="22"/>
                <w:szCs w:val="22"/>
              </w:rPr>
              <w:t>813</w:t>
            </w:r>
            <w:r w:rsidRPr="00495094">
              <w:rPr>
                <w:rFonts w:ascii="Arial" w:hAnsi="Arial" w:cs="Arial"/>
                <w:bCs/>
                <w:sz w:val="22"/>
                <w:szCs w:val="22"/>
              </w:rPr>
              <w:t>,</w:t>
            </w:r>
            <w:r w:rsidR="006A59ED" w:rsidRPr="00495094">
              <w:rPr>
                <w:rFonts w:ascii="Arial" w:hAnsi="Arial" w:cs="Arial"/>
                <w:bCs/>
                <w:sz w:val="22"/>
                <w:szCs w:val="22"/>
              </w:rPr>
              <w:t>36</w:t>
            </w:r>
            <w:r w:rsidR="00722F5C" w:rsidRPr="00495094">
              <w:rPr>
                <w:rFonts w:ascii="Arial" w:hAnsi="Arial" w:cs="Arial"/>
                <w:bCs/>
                <w:sz w:val="22"/>
                <w:szCs w:val="22"/>
              </w:rPr>
              <w:t>1</w:t>
            </w:r>
          </w:p>
        </w:tc>
        <w:tc>
          <w:tcPr>
            <w:tcW w:w="1623" w:type="dxa"/>
            <w:tcBorders>
              <w:top w:val="single" w:sz="4" w:space="0" w:color="auto"/>
              <w:bottom w:val="double" w:sz="4" w:space="0" w:color="auto"/>
            </w:tcBorders>
            <w:shd w:val="clear" w:color="auto" w:fill="auto"/>
            <w:vAlign w:val="center"/>
          </w:tcPr>
          <w:p w14:paraId="297F6DD4" w14:textId="72836CE6" w:rsidR="00822BE8" w:rsidRPr="00495094" w:rsidRDefault="00EB4BA5" w:rsidP="00822BE8">
            <w:pPr>
              <w:jc w:val="right"/>
              <w:rPr>
                <w:rFonts w:ascii="Arial" w:hAnsi="Arial" w:cs="Arial"/>
                <w:bCs/>
                <w:sz w:val="22"/>
                <w:szCs w:val="22"/>
              </w:rPr>
            </w:pPr>
            <w:r w:rsidRPr="00495094">
              <w:rPr>
                <w:rFonts w:ascii="Arial" w:hAnsi="Arial" w:cs="Arial"/>
                <w:bCs/>
                <w:sz w:val="22"/>
                <w:szCs w:val="22"/>
              </w:rPr>
              <w:t>32,088</w:t>
            </w:r>
          </w:p>
        </w:tc>
      </w:tr>
    </w:tbl>
    <w:p w14:paraId="5635E9EF" w14:textId="77777777" w:rsidR="00312017" w:rsidRPr="00495094" w:rsidRDefault="00312017" w:rsidP="00822BE8">
      <w:pPr>
        <w:jc w:val="right"/>
        <w:rPr>
          <w:rFonts w:ascii="Arial" w:hAnsi="Arial" w:cs="Arial"/>
          <w:b/>
          <w:bCs/>
          <w:sz w:val="22"/>
          <w:szCs w:val="22"/>
        </w:rPr>
      </w:pPr>
    </w:p>
    <w:p w14:paraId="2A4D6675" w14:textId="1207E1EB" w:rsidR="00AD4075" w:rsidRPr="00495094" w:rsidRDefault="00AD4075" w:rsidP="00AD4075">
      <w:pPr>
        <w:rPr>
          <w:rFonts w:ascii="Arial" w:hAnsi="Arial" w:cs="Arial"/>
          <w:sz w:val="22"/>
          <w:szCs w:val="22"/>
        </w:rPr>
      </w:pPr>
      <w:r w:rsidRPr="00495094">
        <w:rPr>
          <w:rFonts w:ascii="Arial" w:hAnsi="Arial" w:cs="Arial"/>
          <w:sz w:val="22"/>
          <w:szCs w:val="22"/>
        </w:rPr>
        <w:t xml:space="preserve">On November </w:t>
      </w:r>
      <w:r w:rsidR="00B31B76" w:rsidRPr="00495094">
        <w:rPr>
          <w:rFonts w:ascii="Arial" w:hAnsi="Arial" w:cs="Arial"/>
          <w:sz w:val="22"/>
          <w:szCs w:val="22"/>
        </w:rPr>
        <w:t xml:space="preserve">26, </w:t>
      </w:r>
      <w:r w:rsidRPr="00495094">
        <w:rPr>
          <w:rFonts w:ascii="Arial" w:hAnsi="Arial" w:cs="Arial"/>
          <w:sz w:val="22"/>
          <w:szCs w:val="22"/>
        </w:rPr>
        <w:t xml:space="preserve">2021 and December </w:t>
      </w:r>
      <w:r w:rsidR="00B31B76" w:rsidRPr="00495094">
        <w:rPr>
          <w:rFonts w:ascii="Arial" w:hAnsi="Arial" w:cs="Arial"/>
          <w:sz w:val="22"/>
          <w:szCs w:val="22"/>
        </w:rPr>
        <w:t xml:space="preserve">15, </w:t>
      </w:r>
      <w:r w:rsidRPr="00495094">
        <w:rPr>
          <w:rFonts w:ascii="Arial" w:hAnsi="Arial" w:cs="Arial"/>
          <w:sz w:val="22"/>
          <w:szCs w:val="22"/>
        </w:rPr>
        <w:t>2021, OFB and Landbank had secured their respective Board of Directors’ approval for the assignment of Landbank’s Electronic Salary Loans to OFB with total outstanding principal amount of up to Two Billion Pesos.</w:t>
      </w:r>
    </w:p>
    <w:p w14:paraId="5BCE0843" w14:textId="77777777" w:rsidR="00BE786B" w:rsidRPr="00495094" w:rsidRDefault="00BE786B" w:rsidP="00AD4075">
      <w:pPr>
        <w:rPr>
          <w:rFonts w:ascii="Arial" w:hAnsi="Arial" w:cs="Arial"/>
          <w:sz w:val="22"/>
          <w:szCs w:val="22"/>
        </w:rPr>
      </w:pPr>
    </w:p>
    <w:p w14:paraId="1C8F8882" w14:textId="2486931A" w:rsidR="00EB4BA5" w:rsidRPr="00495094" w:rsidRDefault="00AD4075" w:rsidP="006714CC">
      <w:pPr>
        <w:rPr>
          <w:rFonts w:ascii="Arial" w:hAnsi="Arial" w:cs="Arial"/>
          <w:sz w:val="22"/>
          <w:szCs w:val="22"/>
        </w:rPr>
      </w:pPr>
      <w:r w:rsidRPr="00495094">
        <w:rPr>
          <w:rFonts w:ascii="Arial" w:hAnsi="Arial" w:cs="Arial"/>
          <w:sz w:val="22"/>
          <w:szCs w:val="22"/>
        </w:rPr>
        <w:t>O</w:t>
      </w:r>
      <w:r w:rsidR="004260F9" w:rsidRPr="00495094">
        <w:rPr>
          <w:rFonts w:ascii="Arial" w:hAnsi="Arial" w:cs="Arial"/>
          <w:sz w:val="22"/>
          <w:szCs w:val="22"/>
        </w:rPr>
        <w:t>n May 11</w:t>
      </w:r>
      <w:r w:rsidR="00B31B76" w:rsidRPr="00495094">
        <w:rPr>
          <w:rFonts w:ascii="Arial" w:hAnsi="Arial" w:cs="Arial"/>
          <w:sz w:val="22"/>
          <w:szCs w:val="22"/>
        </w:rPr>
        <w:t>, 2022</w:t>
      </w:r>
      <w:r w:rsidR="00256888" w:rsidRPr="00495094">
        <w:rPr>
          <w:rFonts w:ascii="Arial" w:hAnsi="Arial" w:cs="Arial"/>
          <w:sz w:val="22"/>
          <w:szCs w:val="22"/>
        </w:rPr>
        <w:t xml:space="preserve"> and June</w:t>
      </w:r>
      <w:r w:rsidR="00F20601" w:rsidRPr="00495094">
        <w:rPr>
          <w:rFonts w:ascii="Arial" w:hAnsi="Arial" w:cs="Arial"/>
          <w:sz w:val="22"/>
          <w:szCs w:val="22"/>
        </w:rPr>
        <w:t xml:space="preserve"> 15,</w:t>
      </w:r>
      <w:r w:rsidR="00256888" w:rsidRPr="00495094">
        <w:rPr>
          <w:rFonts w:ascii="Arial" w:hAnsi="Arial" w:cs="Arial"/>
          <w:sz w:val="22"/>
          <w:szCs w:val="22"/>
        </w:rPr>
        <w:t xml:space="preserve"> 2022</w:t>
      </w:r>
      <w:r w:rsidR="004260F9" w:rsidRPr="00495094">
        <w:rPr>
          <w:rFonts w:ascii="Arial" w:hAnsi="Arial" w:cs="Arial"/>
          <w:sz w:val="22"/>
          <w:szCs w:val="22"/>
        </w:rPr>
        <w:t xml:space="preserve">, </w:t>
      </w:r>
      <w:r w:rsidR="007F27B4" w:rsidRPr="00495094">
        <w:rPr>
          <w:rFonts w:ascii="Arial" w:hAnsi="Arial" w:cs="Arial"/>
          <w:sz w:val="22"/>
          <w:szCs w:val="22"/>
        </w:rPr>
        <w:t xml:space="preserve">Landbank assigned its Salary Loan portfolio composed of 13,065 </w:t>
      </w:r>
      <w:r w:rsidR="00256888" w:rsidRPr="00495094">
        <w:rPr>
          <w:rFonts w:ascii="Arial" w:hAnsi="Arial" w:cs="Arial"/>
          <w:sz w:val="22"/>
          <w:szCs w:val="22"/>
        </w:rPr>
        <w:t xml:space="preserve">and </w:t>
      </w:r>
      <w:r w:rsidR="00F20601" w:rsidRPr="00495094">
        <w:rPr>
          <w:rFonts w:ascii="Arial" w:hAnsi="Arial" w:cs="Arial"/>
          <w:sz w:val="22"/>
          <w:szCs w:val="22"/>
        </w:rPr>
        <w:t xml:space="preserve">1,662 </w:t>
      </w:r>
      <w:r w:rsidR="007F27B4" w:rsidRPr="00495094">
        <w:rPr>
          <w:rFonts w:ascii="Arial" w:hAnsi="Arial" w:cs="Arial"/>
          <w:sz w:val="22"/>
          <w:szCs w:val="22"/>
        </w:rPr>
        <w:t>eligible borrowers</w:t>
      </w:r>
      <w:r w:rsidR="00A8388B" w:rsidRPr="00495094">
        <w:rPr>
          <w:rFonts w:ascii="Arial" w:hAnsi="Arial" w:cs="Arial"/>
          <w:sz w:val="22"/>
          <w:szCs w:val="22"/>
        </w:rPr>
        <w:t>’</w:t>
      </w:r>
      <w:r w:rsidR="007F27B4" w:rsidRPr="00495094">
        <w:rPr>
          <w:rFonts w:ascii="Arial" w:hAnsi="Arial" w:cs="Arial"/>
          <w:sz w:val="22"/>
          <w:szCs w:val="22"/>
        </w:rPr>
        <w:t xml:space="preserve"> accounts to </w:t>
      </w:r>
      <w:r w:rsidR="004260F9" w:rsidRPr="00495094">
        <w:rPr>
          <w:rFonts w:ascii="Arial" w:hAnsi="Arial" w:cs="Arial"/>
          <w:sz w:val="22"/>
          <w:szCs w:val="22"/>
        </w:rPr>
        <w:t>OFB</w:t>
      </w:r>
      <w:r w:rsidR="007F27B4" w:rsidRPr="00495094">
        <w:rPr>
          <w:rFonts w:ascii="Arial" w:hAnsi="Arial" w:cs="Arial"/>
          <w:sz w:val="22"/>
          <w:szCs w:val="22"/>
        </w:rPr>
        <w:t xml:space="preserve"> and pursuant to </w:t>
      </w:r>
      <w:r w:rsidR="007F27B4" w:rsidRPr="00495094">
        <w:rPr>
          <w:rFonts w:ascii="Arial" w:hAnsi="Arial" w:cs="Arial"/>
          <w:sz w:val="22"/>
          <w:szCs w:val="22"/>
        </w:rPr>
        <w:lastRenderedPageBreak/>
        <w:t xml:space="preserve">said assignments, </w:t>
      </w:r>
      <w:r w:rsidR="00A8388B" w:rsidRPr="00495094">
        <w:rPr>
          <w:rFonts w:ascii="Arial" w:hAnsi="Arial" w:cs="Arial"/>
          <w:sz w:val="22"/>
          <w:szCs w:val="22"/>
        </w:rPr>
        <w:t>Landbank executed a Deed of Assignment in favor of OFB covering the Salary Loan accounts assigned.</w:t>
      </w:r>
      <w:r w:rsidR="00693159" w:rsidRPr="00495094">
        <w:rPr>
          <w:rFonts w:ascii="Arial" w:hAnsi="Arial" w:cs="Arial"/>
          <w:sz w:val="22"/>
          <w:szCs w:val="22"/>
        </w:rPr>
        <w:t xml:space="preserve"> There were 15 accounts returned to the </w:t>
      </w:r>
      <w:r w:rsidR="00B31B76" w:rsidRPr="00495094">
        <w:rPr>
          <w:rFonts w:ascii="Arial" w:hAnsi="Arial" w:cs="Arial"/>
          <w:sz w:val="22"/>
          <w:szCs w:val="22"/>
        </w:rPr>
        <w:t>P</w:t>
      </w:r>
      <w:r w:rsidR="00693159" w:rsidRPr="00495094">
        <w:rPr>
          <w:rFonts w:ascii="Arial" w:hAnsi="Arial" w:cs="Arial"/>
          <w:sz w:val="22"/>
          <w:szCs w:val="22"/>
        </w:rPr>
        <w:t xml:space="preserve">arent </w:t>
      </w:r>
      <w:r w:rsidR="00B31B76" w:rsidRPr="00495094">
        <w:rPr>
          <w:rFonts w:ascii="Arial" w:hAnsi="Arial" w:cs="Arial"/>
          <w:sz w:val="22"/>
          <w:szCs w:val="22"/>
        </w:rPr>
        <w:t>B</w:t>
      </w:r>
      <w:r w:rsidR="00693159" w:rsidRPr="00495094">
        <w:rPr>
          <w:rFonts w:ascii="Arial" w:hAnsi="Arial" w:cs="Arial"/>
          <w:sz w:val="22"/>
          <w:szCs w:val="22"/>
        </w:rPr>
        <w:t>ank due to ineli</w:t>
      </w:r>
      <w:r w:rsidR="0090181B" w:rsidRPr="00495094">
        <w:rPr>
          <w:rFonts w:ascii="Arial" w:hAnsi="Arial" w:cs="Arial"/>
          <w:sz w:val="22"/>
          <w:szCs w:val="22"/>
        </w:rPr>
        <w:t>gibility.</w:t>
      </w:r>
      <w:r w:rsidR="00693159" w:rsidRPr="00495094">
        <w:rPr>
          <w:rFonts w:ascii="Arial" w:hAnsi="Arial" w:cs="Arial"/>
          <w:sz w:val="22"/>
          <w:szCs w:val="22"/>
        </w:rPr>
        <w:t xml:space="preserve">  </w:t>
      </w:r>
    </w:p>
    <w:p w14:paraId="6B05C081" w14:textId="77777777" w:rsidR="00A8388B" w:rsidRPr="00495094" w:rsidRDefault="00A8388B" w:rsidP="006714CC">
      <w:pPr>
        <w:rPr>
          <w:rFonts w:ascii="Arial" w:hAnsi="Arial" w:cs="Arial"/>
          <w:sz w:val="22"/>
          <w:szCs w:val="22"/>
        </w:rPr>
      </w:pPr>
    </w:p>
    <w:p w14:paraId="44CA8BB9" w14:textId="1CBE297C" w:rsidR="00A8388B" w:rsidRPr="00495094" w:rsidRDefault="00A8388B" w:rsidP="00B31B76">
      <w:pPr>
        <w:rPr>
          <w:rFonts w:ascii="Arial" w:hAnsi="Arial" w:cs="Arial"/>
          <w:sz w:val="22"/>
          <w:szCs w:val="22"/>
        </w:rPr>
      </w:pPr>
      <w:r w:rsidRPr="00495094">
        <w:rPr>
          <w:rFonts w:ascii="Arial" w:hAnsi="Arial" w:cs="Arial"/>
          <w:sz w:val="22"/>
          <w:szCs w:val="22"/>
        </w:rPr>
        <w:t>After the assignment, OFB shall outsource from the concerned Landbank branches various operational support and administrative services relative to the loans assigned to further enhance OFB’s business efficiency, aligned with its new structure, in providing digital banking services to its clients.</w:t>
      </w:r>
    </w:p>
    <w:p w14:paraId="360A8CB4" w14:textId="72DB1068" w:rsidR="009E2CAA" w:rsidRPr="00495094" w:rsidRDefault="00693159" w:rsidP="006714CC">
      <w:pPr>
        <w:rPr>
          <w:rFonts w:ascii="Arial" w:hAnsi="Arial" w:cs="Arial"/>
          <w:sz w:val="22"/>
          <w:szCs w:val="22"/>
        </w:rPr>
      </w:pPr>
      <w:r w:rsidRPr="00495094">
        <w:rPr>
          <w:rFonts w:ascii="Arial" w:hAnsi="Arial" w:cs="Arial"/>
          <w:sz w:val="22"/>
          <w:szCs w:val="22"/>
        </w:rPr>
        <w:t xml:space="preserve"> </w:t>
      </w:r>
    </w:p>
    <w:p w14:paraId="70E24200" w14:textId="2A113934" w:rsidR="0007085C" w:rsidRPr="00495094" w:rsidRDefault="0007085C" w:rsidP="00B31B76">
      <w:pPr>
        <w:rPr>
          <w:rFonts w:ascii="Arial" w:hAnsi="Arial" w:cs="Arial"/>
          <w:sz w:val="22"/>
          <w:szCs w:val="22"/>
        </w:rPr>
      </w:pPr>
      <w:r w:rsidRPr="00495094">
        <w:rPr>
          <w:rFonts w:ascii="Arial" w:hAnsi="Arial" w:cs="Arial"/>
          <w:sz w:val="22"/>
          <w:szCs w:val="22"/>
        </w:rPr>
        <w:t>A servicer fee of 1.5</w:t>
      </w:r>
      <w:r w:rsidR="00B31B76" w:rsidRPr="00495094">
        <w:rPr>
          <w:rFonts w:ascii="Arial" w:hAnsi="Arial" w:cs="Arial"/>
          <w:sz w:val="22"/>
          <w:szCs w:val="22"/>
        </w:rPr>
        <w:t xml:space="preserve"> per cent</w:t>
      </w:r>
      <w:r w:rsidRPr="00495094">
        <w:rPr>
          <w:rFonts w:ascii="Arial" w:hAnsi="Arial" w:cs="Arial"/>
          <w:sz w:val="22"/>
          <w:szCs w:val="22"/>
        </w:rPr>
        <w:t xml:space="preserve"> based on total interest collected per month per covered Landbank Branch shall be paid by OFB to Landbank.  The Cash Agency Arrangement executed by both parties shall supplement the Memorandum of Agreement.</w:t>
      </w:r>
    </w:p>
    <w:p w14:paraId="0F4BB9A7" w14:textId="77777777" w:rsidR="00B31B76" w:rsidRPr="00495094" w:rsidRDefault="00B31B76" w:rsidP="006714CC">
      <w:pPr>
        <w:rPr>
          <w:rFonts w:ascii="Arial" w:hAnsi="Arial" w:cs="Arial"/>
          <w:sz w:val="22"/>
          <w:szCs w:val="22"/>
        </w:rPr>
      </w:pPr>
    </w:p>
    <w:p w14:paraId="67B2CED7" w14:textId="36ABE015" w:rsidR="00287D39" w:rsidRPr="00495094" w:rsidRDefault="00287D39" w:rsidP="00287D39">
      <w:pPr>
        <w:rPr>
          <w:rFonts w:ascii="Arial" w:hAnsi="Arial" w:cs="Arial"/>
          <w:bCs/>
          <w:sz w:val="22"/>
          <w:szCs w:val="22"/>
          <w:u w:val="single"/>
        </w:rPr>
      </w:pPr>
      <w:r w:rsidRPr="00495094">
        <w:rPr>
          <w:rFonts w:ascii="Arial" w:hAnsi="Arial" w:cs="Arial"/>
          <w:bCs/>
          <w:sz w:val="22"/>
          <w:szCs w:val="22"/>
          <w:u w:val="single"/>
        </w:rPr>
        <w:t>Allowance for Losses</w:t>
      </w:r>
    </w:p>
    <w:p w14:paraId="51B5F38F" w14:textId="77777777" w:rsidR="00287D39" w:rsidRPr="00495094" w:rsidRDefault="00287D39" w:rsidP="00287D39">
      <w:pPr>
        <w:rPr>
          <w:rFonts w:ascii="Arial" w:hAnsi="Arial" w:cs="Arial"/>
          <w:b/>
          <w:bCs/>
          <w:sz w:val="22"/>
          <w:szCs w:val="22"/>
          <w:u w:val="single"/>
        </w:rPr>
      </w:pPr>
    </w:p>
    <w:p w14:paraId="4C4D8C8A" w14:textId="77777777" w:rsidR="00287D39" w:rsidRPr="00495094" w:rsidRDefault="00287D39" w:rsidP="00287D39">
      <w:pPr>
        <w:rPr>
          <w:rFonts w:ascii="Arial" w:hAnsi="Arial" w:cs="Arial"/>
          <w:bCs/>
          <w:sz w:val="22"/>
          <w:szCs w:val="22"/>
        </w:rPr>
      </w:pPr>
      <w:r w:rsidRPr="00495094">
        <w:rPr>
          <w:rFonts w:ascii="Arial" w:hAnsi="Arial" w:cs="Arial"/>
          <w:bCs/>
          <w:sz w:val="22"/>
          <w:szCs w:val="22"/>
        </w:rPr>
        <w:t>The details of specific allowances on loans are:</w:t>
      </w:r>
    </w:p>
    <w:p w14:paraId="561570EF" w14:textId="77777777" w:rsidR="00287D39" w:rsidRPr="00495094" w:rsidRDefault="00287D39" w:rsidP="00287D39">
      <w:pPr>
        <w:rPr>
          <w:rFonts w:ascii="Arial" w:hAnsi="Arial" w:cs="Arial"/>
          <w:bCs/>
          <w:sz w:val="22"/>
          <w:szCs w:val="22"/>
        </w:rPr>
      </w:pPr>
    </w:p>
    <w:tbl>
      <w:tblPr>
        <w:tblW w:w="0" w:type="auto"/>
        <w:tblInd w:w="108" w:type="dxa"/>
        <w:tblLook w:val="04A0" w:firstRow="1" w:lastRow="0" w:firstColumn="1" w:lastColumn="0" w:noHBand="0" w:noVBand="1"/>
      </w:tblPr>
      <w:tblGrid>
        <w:gridCol w:w="5194"/>
        <w:gridCol w:w="1611"/>
        <w:gridCol w:w="1609"/>
      </w:tblGrid>
      <w:tr w:rsidR="00495094" w:rsidRPr="00495094" w14:paraId="5DED9556" w14:textId="77777777" w:rsidTr="003E4921">
        <w:trPr>
          <w:tblHeader/>
        </w:trPr>
        <w:tc>
          <w:tcPr>
            <w:tcW w:w="5295" w:type="dxa"/>
            <w:tcBorders>
              <w:top w:val="single" w:sz="4" w:space="0" w:color="auto"/>
              <w:left w:val="nil"/>
              <w:bottom w:val="single" w:sz="4" w:space="0" w:color="auto"/>
              <w:right w:val="nil"/>
            </w:tcBorders>
            <w:shd w:val="clear" w:color="auto" w:fill="auto"/>
            <w:vAlign w:val="center"/>
          </w:tcPr>
          <w:p w14:paraId="0F9A62C2" w14:textId="77777777" w:rsidR="00287D39" w:rsidRPr="00495094" w:rsidRDefault="00287D39" w:rsidP="00FF0251">
            <w:pPr>
              <w:rPr>
                <w:rFonts w:ascii="Arial" w:hAnsi="Arial" w:cs="Arial"/>
                <w:sz w:val="22"/>
                <w:szCs w:val="22"/>
                <w:lang w:val="en-PH" w:eastAsia="en-PH"/>
              </w:rPr>
            </w:pPr>
          </w:p>
        </w:tc>
        <w:tc>
          <w:tcPr>
            <w:tcW w:w="1618" w:type="dxa"/>
            <w:tcBorders>
              <w:top w:val="single" w:sz="4" w:space="0" w:color="auto"/>
              <w:left w:val="nil"/>
              <w:bottom w:val="single" w:sz="4" w:space="0" w:color="auto"/>
              <w:right w:val="nil"/>
            </w:tcBorders>
            <w:shd w:val="clear" w:color="auto" w:fill="auto"/>
          </w:tcPr>
          <w:p w14:paraId="30CB6F77" w14:textId="4E408ACD" w:rsidR="00287D39" w:rsidRPr="00495094" w:rsidRDefault="00287D39" w:rsidP="000610A9">
            <w:pPr>
              <w:jc w:val="center"/>
              <w:rPr>
                <w:rFonts w:ascii="Arial" w:hAnsi="Arial" w:cs="Arial"/>
                <w:b/>
                <w:bCs/>
                <w:sz w:val="22"/>
                <w:szCs w:val="22"/>
              </w:rPr>
            </w:pPr>
            <w:r w:rsidRPr="00495094">
              <w:rPr>
                <w:rFonts w:ascii="Arial" w:hAnsi="Arial" w:cs="Arial"/>
                <w:b/>
                <w:bCs/>
                <w:sz w:val="22"/>
                <w:szCs w:val="22"/>
              </w:rPr>
              <w:t>20</w:t>
            </w:r>
            <w:r w:rsidR="00EB4BA5" w:rsidRPr="00495094">
              <w:rPr>
                <w:rFonts w:ascii="Arial" w:hAnsi="Arial" w:cs="Arial"/>
                <w:b/>
                <w:bCs/>
                <w:sz w:val="22"/>
                <w:szCs w:val="22"/>
              </w:rPr>
              <w:t>22</w:t>
            </w:r>
          </w:p>
        </w:tc>
        <w:tc>
          <w:tcPr>
            <w:tcW w:w="1619" w:type="dxa"/>
            <w:tcBorders>
              <w:top w:val="single" w:sz="4" w:space="0" w:color="auto"/>
              <w:left w:val="nil"/>
              <w:bottom w:val="single" w:sz="4" w:space="0" w:color="auto"/>
              <w:right w:val="nil"/>
            </w:tcBorders>
            <w:shd w:val="clear" w:color="auto" w:fill="auto"/>
          </w:tcPr>
          <w:p w14:paraId="5155A6D2" w14:textId="5057A836" w:rsidR="00C46D17" w:rsidRPr="00495094" w:rsidRDefault="000610A9" w:rsidP="00EB4BA5">
            <w:pPr>
              <w:jc w:val="center"/>
              <w:rPr>
                <w:rFonts w:ascii="Arial" w:hAnsi="Arial" w:cs="Arial"/>
                <w:b/>
                <w:bCs/>
                <w:sz w:val="22"/>
                <w:szCs w:val="22"/>
              </w:rPr>
            </w:pPr>
            <w:r w:rsidRPr="00495094">
              <w:rPr>
                <w:rFonts w:ascii="Arial" w:hAnsi="Arial" w:cs="Arial"/>
                <w:b/>
                <w:bCs/>
                <w:sz w:val="22"/>
                <w:szCs w:val="22"/>
              </w:rPr>
              <w:t>20</w:t>
            </w:r>
            <w:r w:rsidR="00822BE8" w:rsidRPr="00495094">
              <w:rPr>
                <w:rFonts w:ascii="Arial" w:hAnsi="Arial" w:cs="Arial"/>
                <w:b/>
                <w:bCs/>
                <w:sz w:val="22"/>
                <w:szCs w:val="22"/>
              </w:rPr>
              <w:t>2</w:t>
            </w:r>
            <w:r w:rsidR="00EB4BA5" w:rsidRPr="00495094">
              <w:rPr>
                <w:rFonts w:ascii="Arial" w:hAnsi="Arial" w:cs="Arial"/>
                <w:b/>
                <w:bCs/>
                <w:sz w:val="22"/>
                <w:szCs w:val="22"/>
              </w:rPr>
              <w:t>1</w:t>
            </w:r>
          </w:p>
        </w:tc>
      </w:tr>
      <w:tr w:rsidR="00495094" w:rsidRPr="00495094" w14:paraId="5CEB0B60" w14:textId="77777777" w:rsidTr="003E4921">
        <w:tc>
          <w:tcPr>
            <w:tcW w:w="5295" w:type="dxa"/>
            <w:tcBorders>
              <w:top w:val="nil"/>
              <w:left w:val="nil"/>
              <w:bottom w:val="nil"/>
              <w:right w:val="nil"/>
            </w:tcBorders>
            <w:shd w:val="clear" w:color="auto" w:fill="auto"/>
            <w:vAlign w:val="center"/>
          </w:tcPr>
          <w:p w14:paraId="7E86F648" w14:textId="77777777" w:rsidR="00822BE8" w:rsidRPr="00495094" w:rsidRDefault="00822BE8" w:rsidP="00822BE8">
            <w:pPr>
              <w:rPr>
                <w:rFonts w:ascii="Arial" w:hAnsi="Arial" w:cs="Arial"/>
                <w:sz w:val="22"/>
                <w:szCs w:val="22"/>
              </w:rPr>
            </w:pPr>
            <w:r w:rsidRPr="00495094">
              <w:rPr>
                <w:rFonts w:ascii="Arial" w:hAnsi="Arial" w:cs="Arial"/>
                <w:sz w:val="22"/>
                <w:szCs w:val="22"/>
              </w:rPr>
              <w:t>Balance, January 01</w:t>
            </w:r>
          </w:p>
        </w:tc>
        <w:tc>
          <w:tcPr>
            <w:tcW w:w="1618" w:type="dxa"/>
            <w:tcBorders>
              <w:top w:val="nil"/>
              <w:left w:val="nil"/>
              <w:bottom w:val="nil"/>
              <w:right w:val="nil"/>
            </w:tcBorders>
            <w:shd w:val="clear" w:color="auto" w:fill="auto"/>
            <w:vAlign w:val="center"/>
          </w:tcPr>
          <w:p w14:paraId="1AA31388" w14:textId="613B2129" w:rsidR="00822BE8" w:rsidRPr="00495094" w:rsidRDefault="00EB4BA5" w:rsidP="00822BE8">
            <w:pPr>
              <w:ind w:right="27"/>
              <w:jc w:val="right"/>
              <w:rPr>
                <w:rFonts w:ascii="Arial" w:hAnsi="Arial" w:cs="Arial"/>
                <w:sz w:val="22"/>
                <w:szCs w:val="22"/>
              </w:rPr>
            </w:pPr>
            <w:r w:rsidRPr="00495094">
              <w:rPr>
                <w:rFonts w:ascii="Arial" w:hAnsi="Arial" w:cs="Arial"/>
                <w:sz w:val="22"/>
                <w:szCs w:val="22"/>
              </w:rPr>
              <w:t>2,097,613</w:t>
            </w:r>
          </w:p>
        </w:tc>
        <w:tc>
          <w:tcPr>
            <w:tcW w:w="1619" w:type="dxa"/>
            <w:tcBorders>
              <w:top w:val="nil"/>
              <w:left w:val="nil"/>
              <w:bottom w:val="nil"/>
              <w:right w:val="nil"/>
            </w:tcBorders>
            <w:shd w:val="clear" w:color="auto" w:fill="auto"/>
            <w:vAlign w:val="center"/>
          </w:tcPr>
          <w:p w14:paraId="7D31071E" w14:textId="0F8E0D9B" w:rsidR="00822BE8" w:rsidRPr="00495094" w:rsidRDefault="00EB4BA5" w:rsidP="00822BE8">
            <w:pPr>
              <w:ind w:right="27"/>
              <w:jc w:val="right"/>
              <w:rPr>
                <w:rFonts w:ascii="Arial" w:hAnsi="Arial" w:cs="Arial"/>
                <w:sz w:val="22"/>
                <w:szCs w:val="22"/>
              </w:rPr>
            </w:pPr>
            <w:r w:rsidRPr="00495094">
              <w:rPr>
                <w:rFonts w:ascii="Arial" w:hAnsi="Arial" w:cs="Arial"/>
                <w:sz w:val="22"/>
                <w:szCs w:val="22"/>
              </w:rPr>
              <w:t>738,683</w:t>
            </w:r>
          </w:p>
        </w:tc>
      </w:tr>
      <w:tr w:rsidR="00495094" w:rsidRPr="00495094" w14:paraId="3E365133" w14:textId="77777777" w:rsidTr="003E4921">
        <w:tc>
          <w:tcPr>
            <w:tcW w:w="5295" w:type="dxa"/>
            <w:tcBorders>
              <w:top w:val="nil"/>
              <w:left w:val="nil"/>
              <w:bottom w:val="nil"/>
              <w:right w:val="nil"/>
            </w:tcBorders>
            <w:shd w:val="clear" w:color="auto" w:fill="auto"/>
            <w:vAlign w:val="center"/>
          </w:tcPr>
          <w:p w14:paraId="402036EB" w14:textId="77777777" w:rsidR="00822BE8" w:rsidRPr="00495094" w:rsidRDefault="00822BE8" w:rsidP="00822BE8">
            <w:pPr>
              <w:rPr>
                <w:rFonts w:ascii="Arial" w:hAnsi="Arial" w:cs="Arial"/>
                <w:sz w:val="22"/>
                <w:szCs w:val="22"/>
              </w:rPr>
            </w:pPr>
            <w:r w:rsidRPr="00495094">
              <w:rPr>
                <w:rFonts w:ascii="Arial" w:hAnsi="Arial" w:cs="Arial"/>
                <w:sz w:val="22"/>
                <w:szCs w:val="22"/>
              </w:rPr>
              <w:t>Provisions</w:t>
            </w:r>
          </w:p>
        </w:tc>
        <w:tc>
          <w:tcPr>
            <w:tcW w:w="1618" w:type="dxa"/>
            <w:tcBorders>
              <w:top w:val="nil"/>
              <w:left w:val="nil"/>
              <w:bottom w:val="nil"/>
              <w:right w:val="nil"/>
            </w:tcBorders>
            <w:shd w:val="clear" w:color="auto" w:fill="auto"/>
            <w:vAlign w:val="center"/>
          </w:tcPr>
          <w:p w14:paraId="2EE7B56E" w14:textId="3FE89E9F" w:rsidR="00822BE8" w:rsidRPr="00495094" w:rsidRDefault="0090181B" w:rsidP="0090181B">
            <w:pPr>
              <w:ind w:right="27"/>
              <w:jc w:val="right"/>
              <w:rPr>
                <w:rFonts w:ascii="Arial" w:hAnsi="Arial" w:cs="Arial"/>
                <w:sz w:val="22"/>
                <w:szCs w:val="22"/>
              </w:rPr>
            </w:pPr>
            <w:r w:rsidRPr="00495094">
              <w:rPr>
                <w:rFonts w:ascii="Arial" w:hAnsi="Arial" w:cs="Arial"/>
                <w:sz w:val="22"/>
                <w:szCs w:val="22"/>
              </w:rPr>
              <w:t>9</w:t>
            </w:r>
            <w:r w:rsidR="00B345D2" w:rsidRPr="00495094">
              <w:rPr>
                <w:rFonts w:ascii="Arial" w:hAnsi="Arial" w:cs="Arial"/>
                <w:sz w:val="22"/>
                <w:szCs w:val="22"/>
              </w:rPr>
              <w:t>,</w:t>
            </w:r>
            <w:r w:rsidRPr="00495094">
              <w:rPr>
                <w:rFonts w:ascii="Arial" w:hAnsi="Arial" w:cs="Arial"/>
                <w:sz w:val="22"/>
                <w:szCs w:val="22"/>
              </w:rPr>
              <w:t>688</w:t>
            </w:r>
            <w:r w:rsidR="00B345D2" w:rsidRPr="00495094">
              <w:rPr>
                <w:rFonts w:ascii="Arial" w:hAnsi="Arial" w:cs="Arial"/>
                <w:sz w:val="22"/>
                <w:szCs w:val="22"/>
              </w:rPr>
              <w:t>,</w:t>
            </w:r>
            <w:r w:rsidRPr="00495094">
              <w:rPr>
                <w:rFonts w:ascii="Arial" w:hAnsi="Arial" w:cs="Arial"/>
                <w:sz w:val="22"/>
                <w:szCs w:val="22"/>
              </w:rPr>
              <w:t>09</w:t>
            </w:r>
            <w:r w:rsidR="00B345D2" w:rsidRPr="00495094">
              <w:rPr>
                <w:rFonts w:ascii="Arial" w:hAnsi="Arial" w:cs="Arial"/>
                <w:sz w:val="22"/>
                <w:szCs w:val="22"/>
              </w:rPr>
              <w:t>9</w:t>
            </w:r>
          </w:p>
        </w:tc>
        <w:tc>
          <w:tcPr>
            <w:tcW w:w="1619" w:type="dxa"/>
            <w:tcBorders>
              <w:top w:val="nil"/>
              <w:left w:val="nil"/>
              <w:bottom w:val="nil"/>
              <w:right w:val="nil"/>
            </w:tcBorders>
            <w:shd w:val="clear" w:color="auto" w:fill="auto"/>
            <w:vAlign w:val="center"/>
          </w:tcPr>
          <w:p w14:paraId="0A28118F" w14:textId="4EC39B83" w:rsidR="00822BE8" w:rsidRPr="00495094" w:rsidRDefault="00EB4BA5" w:rsidP="00822BE8">
            <w:pPr>
              <w:ind w:right="27"/>
              <w:jc w:val="right"/>
              <w:rPr>
                <w:rFonts w:ascii="Arial" w:hAnsi="Arial" w:cs="Arial"/>
                <w:sz w:val="22"/>
                <w:szCs w:val="22"/>
              </w:rPr>
            </w:pPr>
            <w:r w:rsidRPr="00495094">
              <w:rPr>
                <w:rFonts w:ascii="Arial" w:hAnsi="Arial" w:cs="Arial"/>
                <w:sz w:val="22"/>
                <w:szCs w:val="22"/>
              </w:rPr>
              <w:t>1,169,396</w:t>
            </w:r>
          </w:p>
        </w:tc>
      </w:tr>
      <w:tr w:rsidR="00495094" w:rsidRPr="00495094" w14:paraId="4AF6AF63" w14:textId="77777777" w:rsidTr="003E4921">
        <w:tc>
          <w:tcPr>
            <w:tcW w:w="5295" w:type="dxa"/>
            <w:tcBorders>
              <w:top w:val="nil"/>
              <w:left w:val="nil"/>
              <w:bottom w:val="single" w:sz="4" w:space="0" w:color="auto"/>
              <w:right w:val="nil"/>
            </w:tcBorders>
            <w:shd w:val="clear" w:color="auto" w:fill="auto"/>
            <w:vAlign w:val="center"/>
          </w:tcPr>
          <w:p w14:paraId="49184774" w14:textId="77777777" w:rsidR="00822BE8" w:rsidRPr="00495094" w:rsidRDefault="00822BE8" w:rsidP="00170272">
            <w:pPr>
              <w:pStyle w:val="ListParagraph"/>
              <w:tabs>
                <w:tab w:val="clear" w:pos="1526"/>
              </w:tabs>
            </w:pPr>
            <w:r w:rsidRPr="00495094">
              <w:t>Transfers and other adjustments</w:t>
            </w:r>
          </w:p>
        </w:tc>
        <w:tc>
          <w:tcPr>
            <w:tcW w:w="1618" w:type="dxa"/>
            <w:tcBorders>
              <w:top w:val="nil"/>
              <w:left w:val="nil"/>
              <w:bottom w:val="single" w:sz="4" w:space="0" w:color="auto"/>
              <w:right w:val="nil"/>
            </w:tcBorders>
            <w:shd w:val="clear" w:color="auto" w:fill="auto"/>
            <w:vAlign w:val="center"/>
          </w:tcPr>
          <w:p w14:paraId="437A06AE" w14:textId="39425651" w:rsidR="00822BE8" w:rsidRPr="00495094" w:rsidRDefault="00EB4BA5" w:rsidP="00822BE8">
            <w:pPr>
              <w:ind w:right="27"/>
              <w:jc w:val="right"/>
              <w:rPr>
                <w:rFonts w:ascii="Arial" w:hAnsi="Arial" w:cs="Arial"/>
                <w:sz w:val="22"/>
                <w:szCs w:val="22"/>
              </w:rPr>
            </w:pPr>
            <w:r w:rsidRPr="00495094">
              <w:rPr>
                <w:rFonts w:ascii="Arial" w:hAnsi="Arial" w:cs="Arial"/>
                <w:sz w:val="22"/>
                <w:szCs w:val="22"/>
              </w:rPr>
              <w:t>0</w:t>
            </w:r>
          </w:p>
        </w:tc>
        <w:tc>
          <w:tcPr>
            <w:tcW w:w="1619" w:type="dxa"/>
            <w:tcBorders>
              <w:top w:val="nil"/>
              <w:left w:val="nil"/>
              <w:bottom w:val="single" w:sz="4" w:space="0" w:color="auto"/>
              <w:right w:val="nil"/>
            </w:tcBorders>
            <w:shd w:val="clear" w:color="auto" w:fill="auto"/>
            <w:vAlign w:val="center"/>
          </w:tcPr>
          <w:p w14:paraId="3B5F1D60" w14:textId="367FAB93" w:rsidR="00822BE8" w:rsidRPr="00495094" w:rsidRDefault="00EB4BA5" w:rsidP="00EB4BA5">
            <w:pPr>
              <w:ind w:right="-56"/>
              <w:jc w:val="right"/>
              <w:rPr>
                <w:rFonts w:ascii="Arial" w:hAnsi="Arial" w:cs="Arial"/>
                <w:sz w:val="22"/>
                <w:szCs w:val="22"/>
              </w:rPr>
            </w:pPr>
            <w:r w:rsidRPr="00495094">
              <w:rPr>
                <w:rFonts w:ascii="Arial" w:hAnsi="Arial" w:cs="Arial"/>
                <w:sz w:val="22"/>
                <w:szCs w:val="22"/>
              </w:rPr>
              <w:t>189,534</w:t>
            </w:r>
          </w:p>
        </w:tc>
      </w:tr>
      <w:tr w:rsidR="00495094" w:rsidRPr="00495094" w14:paraId="20808603" w14:textId="77777777" w:rsidTr="003E4921">
        <w:tc>
          <w:tcPr>
            <w:tcW w:w="5295" w:type="dxa"/>
            <w:tcBorders>
              <w:top w:val="nil"/>
              <w:left w:val="nil"/>
              <w:bottom w:val="double" w:sz="6" w:space="0" w:color="auto"/>
              <w:right w:val="nil"/>
            </w:tcBorders>
            <w:shd w:val="clear" w:color="auto" w:fill="auto"/>
            <w:vAlign w:val="center"/>
          </w:tcPr>
          <w:p w14:paraId="74B335B0" w14:textId="77777777" w:rsidR="00822BE8" w:rsidRPr="00495094" w:rsidRDefault="00822BE8" w:rsidP="00822BE8">
            <w:pPr>
              <w:rPr>
                <w:rFonts w:ascii="Arial" w:hAnsi="Arial" w:cs="Arial"/>
                <w:bCs/>
                <w:sz w:val="22"/>
                <w:szCs w:val="22"/>
              </w:rPr>
            </w:pPr>
            <w:r w:rsidRPr="00495094">
              <w:rPr>
                <w:rFonts w:ascii="Arial" w:hAnsi="Arial" w:cs="Arial"/>
                <w:bCs/>
                <w:sz w:val="22"/>
                <w:szCs w:val="22"/>
              </w:rPr>
              <w:t>Balance, December 31 </w:t>
            </w:r>
          </w:p>
        </w:tc>
        <w:tc>
          <w:tcPr>
            <w:tcW w:w="1618" w:type="dxa"/>
            <w:tcBorders>
              <w:top w:val="nil"/>
              <w:left w:val="nil"/>
              <w:bottom w:val="double" w:sz="6" w:space="0" w:color="auto"/>
              <w:right w:val="nil"/>
            </w:tcBorders>
            <w:shd w:val="clear" w:color="auto" w:fill="auto"/>
            <w:vAlign w:val="center"/>
          </w:tcPr>
          <w:p w14:paraId="1A1FA124" w14:textId="63E72A50" w:rsidR="00822BE8" w:rsidRPr="00495094" w:rsidRDefault="0090181B" w:rsidP="0090181B">
            <w:pPr>
              <w:ind w:right="27"/>
              <w:jc w:val="right"/>
              <w:rPr>
                <w:rFonts w:ascii="Arial" w:hAnsi="Arial" w:cs="Arial"/>
                <w:bCs/>
                <w:sz w:val="22"/>
                <w:szCs w:val="22"/>
              </w:rPr>
            </w:pPr>
            <w:r w:rsidRPr="00495094">
              <w:rPr>
                <w:rFonts w:ascii="Arial" w:hAnsi="Arial" w:cs="Arial"/>
                <w:bCs/>
                <w:sz w:val="22"/>
                <w:szCs w:val="22"/>
              </w:rPr>
              <w:t>11</w:t>
            </w:r>
            <w:r w:rsidR="00B345D2" w:rsidRPr="00495094">
              <w:rPr>
                <w:rFonts w:ascii="Arial" w:hAnsi="Arial" w:cs="Arial"/>
                <w:bCs/>
                <w:sz w:val="22"/>
                <w:szCs w:val="22"/>
              </w:rPr>
              <w:t>,</w:t>
            </w:r>
            <w:r w:rsidRPr="00495094">
              <w:rPr>
                <w:rFonts w:ascii="Arial" w:hAnsi="Arial" w:cs="Arial"/>
                <w:bCs/>
                <w:sz w:val="22"/>
                <w:szCs w:val="22"/>
              </w:rPr>
              <w:t>785</w:t>
            </w:r>
            <w:r w:rsidR="00B345D2" w:rsidRPr="00495094">
              <w:rPr>
                <w:rFonts w:ascii="Arial" w:hAnsi="Arial" w:cs="Arial"/>
                <w:bCs/>
                <w:sz w:val="22"/>
                <w:szCs w:val="22"/>
              </w:rPr>
              <w:t>,7</w:t>
            </w:r>
            <w:r w:rsidRPr="00495094">
              <w:rPr>
                <w:rFonts w:ascii="Arial" w:hAnsi="Arial" w:cs="Arial"/>
                <w:bCs/>
                <w:sz w:val="22"/>
                <w:szCs w:val="22"/>
              </w:rPr>
              <w:t>12</w:t>
            </w:r>
          </w:p>
        </w:tc>
        <w:tc>
          <w:tcPr>
            <w:tcW w:w="1619" w:type="dxa"/>
            <w:tcBorders>
              <w:top w:val="nil"/>
              <w:left w:val="nil"/>
              <w:bottom w:val="double" w:sz="6" w:space="0" w:color="auto"/>
              <w:right w:val="nil"/>
            </w:tcBorders>
            <w:shd w:val="clear" w:color="auto" w:fill="auto"/>
            <w:vAlign w:val="center"/>
          </w:tcPr>
          <w:p w14:paraId="4A75B3D3" w14:textId="734282D8" w:rsidR="00822BE8" w:rsidRPr="00495094" w:rsidRDefault="00EB4BA5" w:rsidP="00822BE8">
            <w:pPr>
              <w:ind w:right="27"/>
              <w:jc w:val="right"/>
              <w:rPr>
                <w:rFonts w:ascii="Arial" w:hAnsi="Arial" w:cs="Arial"/>
                <w:bCs/>
                <w:sz w:val="22"/>
                <w:szCs w:val="22"/>
              </w:rPr>
            </w:pPr>
            <w:r w:rsidRPr="00495094">
              <w:rPr>
                <w:rFonts w:ascii="Arial" w:hAnsi="Arial" w:cs="Arial"/>
                <w:bCs/>
                <w:sz w:val="22"/>
                <w:szCs w:val="22"/>
              </w:rPr>
              <w:t>2,097,613</w:t>
            </w:r>
          </w:p>
        </w:tc>
      </w:tr>
    </w:tbl>
    <w:p w14:paraId="545FCEF2" w14:textId="77777777" w:rsidR="00822BE8" w:rsidRPr="00495094" w:rsidRDefault="00822BE8" w:rsidP="00287D39">
      <w:pPr>
        <w:pStyle w:val="BodyTextIndent2"/>
        <w:ind w:left="0"/>
        <w:rPr>
          <w:rFonts w:ascii="Arial" w:hAnsi="Arial" w:cs="Arial"/>
          <w:b/>
          <w:bCs/>
          <w:sz w:val="22"/>
          <w:szCs w:val="22"/>
          <w:u w:val="single"/>
        </w:rPr>
      </w:pPr>
    </w:p>
    <w:p w14:paraId="47C8A94B" w14:textId="77777777" w:rsidR="00287D39" w:rsidRPr="00495094" w:rsidRDefault="00287D39" w:rsidP="003315ED">
      <w:pPr>
        <w:pStyle w:val="BodyText3"/>
        <w:tabs>
          <w:tab w:val="clear" w:pos="8550"/>
        </w:tabs>
      </w:pPr>
      <w:r w:rsidRPr="00495094">
        <w:t>The movement of the general loan loss provisions are:</w:t>
      </w:r>
    </w:p>
    <w:p w14:paraId="78136AB3" w14:textId="77777777" w:rsidR="00287D39" w:rsidRPr="00495094" w:rsidRDefault="00287D39" w:rsidP="00287D39">
      <w:pPr>
        <w:rPr>
          <w:rFonts w:ascii="Arial" w:hAnsi="Arial" w:cs="Arial"/>
          <w:bCs/>
          <w:sz w:val="22"/>
          <w:szCs w:val="22"/>
        </w:rPr>
      </w:pPr>
    </w:p>
    <w:tbl>
      <w:tblPr>
        <w:tblW w:w="0" w:type="auto"/>
        <w:tblInd w:w="108" w:type="dxa"/>
        <w:tblLook w:val="04A0" w:firstRow="1" w:lastRow="0" w:firstColumn="1" w:lastColumn="0" w:noHBand="0" w:noVBand="1"/>
      </w:tblPr>
      <w:tblGrid>
        <w:gridCol w:w="5211"/>
        <w:gridCol w:w="1596"/>
        <w:gridCol w:w="1607"/>
      </w:tblGrid>
      <w:tr w:rsidR="00495094" w:rsidRPr="00495094" w14:paraId="2D65FB7C" w14:textId="77777777" w:rsidTr="003E4921">
        <w:trPr>
          <w:tblHeader/>
        </w:trPr>
        <w:tc>
          <w:tcPr>
            <w:tcW w:w="5311" w:type="dxa"/>
            <w:tcBorders>
              <w:top w:val="single" w:sz="4" w:space="0" w:color="auto"/>
              <w:left w:val="nil"/>
              <w:bottom w:val="single" w:sz="4" w:space="0" w:color="auto"/>
              <w:right w:val="nil"/>
            </w:tcBorders>
            <w:shd w:val="clear" w:color="auto" w:fill="auto"/>
            <w:vAlign w:val="center"/>
          </w:tcPr>
          <w:p w14:paraId="1BF147AC" w14:textId="77777777" w:rsidR="00287D39" w:rsidRPr="00495094" w:rsidRDefault="00287D39" w:rsidP="00FF0251">
            <w:pPr>
              <w:rPr>
                <w:rFonts w:ascii="Arial" w:hAnsi="Arial" w:cs="Arial"/>
                <w:sz w:val="22"/>
                <w:szCs w:val="22"/>
                <w:lang w:val="en-PH" w:eastAsia="en-PH"/>
              </w:rPr>
            </w:pPr>
          </w:p>
        </w:tc>
        <w:tc>
          <w:tcPr>
            <w:tcW w:w="1602" w:type="dxa"/>
            <w:tcBorders>
              <w:top w:val="single" w:sz="4" w:space="0" w:color="auto"/>
              <w:left w:val="nil"/>
              <w:bottom w:val="single" w:sz="4" w:space="0" w:color="auto"/>
              <w:right w:val="nil"/>
            </w:tcBorders>
            <w:shd w:val="clear" w:color="auto" w:fill="auto"/>
          </w:tcPr>
          <w:p w14:paraId="125741AB" w14:textId="1A36AE56" w:rsidR="006C4440" w:rsidRPr="00495094" w:rsidRDefault="00D230E1" w:rsidP="006C4440">
            <w:pPr>
              <w:jc w:val="center"/>
              <w:rPr>
                <w:rFonts w:ascii="Arial" w:hAnsi="Arial" w:cs="Arial"/>
                <w:b/>
                <w:bCs/>
                <w:sz w:val="22"/>
                <w:szCs w:val="22"/>
              </w:rPr>
            </w:pPr>
            <w:r w:rsidRPr="00495094">
              <w:rPr>
                <w:rFonts w:ascii="Arial" w:hAnsi="Arial" w:cs="Arial"/>
                <w:b/>
                <w:bCs/>
                <w:sz w:val="22"/>
                <w:szCs w:val="22"/>
              </w:rPr>
              <w:t>2022</w:t>
            </w:r>
          </w:p>
        </w:tc>
        <w:tc>
          <w:tcPr>
            <w:tcW w:w="1619" w:type="dxa"/>
            <w:tcBorders>
              <w:top w:val="single" w:sz="4" w:space="0" w:color="auto"/>
              <w:left w:val="nil"/>
              <w:bottom w:val="single" w:sz="4" w:space="0" w:color="auto"/>
              <w:right w:val="nil"/>
            </w:tcBorders>
            <w:shd w:val="clear" w:color="auto" w:fill="auto"/>
          </w:tcPr>
          <w:p w14:paraId="77B31CD4" w14:textId="426064F6" w:rsidR="00287D39" w:rsidRPr="00495094" w:rsidRDefault="00EB4BA5" w:rsidP="00723693">
            <w:pPr>
              <w:jc w:val="center"/>
              <w:rPr>
                <w:rFonts w:ascii="Arial" w:hAnsi="Arial" w:cs="Arial"/>
                <w:b/>
                <w:bCs/>
                <w:sz w:val="22"/>
                <w:szCs w:val="22"/>
              </w:rPr>
            </w:pPr>
            <w:r w:rsidRPr="00495094">
              <w:rPr>
                <w:rFonts w:ascii="Arial" w:hAnsi="Arial" w:cs="Arial"/>
                <w:b/>
                <w:bCs/>
                <w:sz w:val="22"/>
                <w:szCs w:val="22"/>
              </w:rPr>
              <w:t>2021</w:t>
            </w:r>
          </w:p>
        </w:tc>
      </w:tr>
      <w:tr w:rsidR="00495094" w:rsidRPr="00495094" w14:paraId="43AF06F8" w14:textId="77777777" w:rsidTr="003E4921">
        <w:tc>
          <w:tcPr>
            <w:tcW w:w="5311" w:type="dxa"/>
            <w:tcBorders>
              <w:top w:val="nil"/>
              <w:left w:val="nil"/>
              <w:bottom w:val="nil"/>
              <w:right w:val="nil"/>
            </w:tcBorders>
            <w:shd w:val="clear" w:color="auto" w:fill="auto"/>
            <w:vAlign w:val="center"/>
          </w:tcPr>
          <w:p w14:paraId="3C6D914C" w14:textId="67A64340" w:rsidR="00131040" w:rsidRPr="00495094" w:rsidRDefault="00131040" w:rsidP="00131040">
            <w:pPr>
              <w:rPr>
                <w:rFonts w:ascii="Arial" w:hAnsi="Arial" w:cs="Arial"/>
                <w:sz w:val="22"/>
                <w:szCs w:val="22"/>
              </w:rPr>
            </w:pPr>
            <w:r w:rsidRPr="00495094">
              <w:rPr>
                <w:rFonts w:ascii="Arial" w:hAnsi="Arial" w:cs="Arial"/>
                <w:sz w:val="22"/>
                <w:szCs w:val="22"/>
              </w:rPr>
              <w:t>Balance, January 01</w:t>
            </w:r>
          </w:p>
        </w:tc>
        <w:tc>
          <w:tcPr>
            <w:tcW w:w="1602" w:type="dxa"/>
            <w:tcBorders>
              <w:top w:val="nil"/>
              <w:left w:val="nil"/>
              <w:bottom w:val="nil"/>
              <w:right w:val="nil"/>
            </w:tcBorders>
            <w:shd w:val="clear" w:color="auto" w:fill="auto"/>
            <w:vAlign w:val="center"/>
          </w:tcPr>
          <w:p w14:paraId="526BF4DD" w14:textId="530644A6" w:rsidR="00131040" w:rsidRPr="00495094" w:rsidRDefault="00EB4BA5" w:rsidP="00131040">
            <w:pPr>
              <w:ind w:right="27"/>
              <w:jc w:val="right"/>
              <w:rPr>
                <w:rFonts w:ascii="Arial" w:hAnsi="Arial" w:cs="Arial"/>
                <w:sz w:val="22"/>
                <w:szCs w:val="22"/>
              </w:rPr>
            </w:pPr>
            <w:r w:rsidRPr="00495094">
              <w:rPr>
                <w:rFonts w:ascii="Arial" w:hAnsi="Arial" w:cs="Arial"/>
                <w:sz w:val="22"/>
                <w:szCs w:val="22"/>
              </w:rPr>
              <w:t>28,800</w:t>
            </w:r>
          </w:p>
        </w:tc>
        <w:tc>
          <w:tcPr>
            <w:tcW w:w="1619" w:type="dxa"/>
            <w:tcBorders>
              <w:top w:val="nil"/>
              <w:left w:val="nil"/>
              <w:bottom w:val="nil"/>
              <w:right w:val="nil"/>
            </w:tcBorders>
            <w:shd w:val="clear" w:color="auto" w:fill="auto"/>
            <w:vAlign w:val="center"/>
          </w:tcPr>
          <w:p w14:paraId="129D9D7A" w14:textId="6621AEA2" w:rsidR="00131040" w:rsidRPr="00495094" w:rsidRDefault="00EB4BA5" w:rsidP="00131040">
            <w:pPr>
              <w:ind w:right="27"/>
              <w:jc w:val="right"/>
              <w:rPr>
                <w:rFonts w:ascii="Arial" w:hAnsi="Arial" w:cs="Arial"/>
                <w:sz w:val="22"/>
                <w:szCs w:val="22"/>
              </w:rPr>
            </w:pPr>
            <w:r w:rsidRPr="00495094">
              <w:rPr>
                <w:rFonts w:ascii="Arial" w:hAnsi="Arial" w:cs="Arial"/>
                <w:sz w:val="22"/>
                <w:szCs w:val="22"/>
              </w:rPr>
              <w:t>231,451</w:t>
            </w:r>
          </w:p>
        </w:tc>
      </w:tr>
      <w:tr w:rsidR="00495094" w:rsidRPr="00495094" w14:paraId="2CDDB2F2" w14:textId="77777777" w:rsidTr="003E4921">
        <w:tc>
          <w:tcPr>
            <w:tcW w:w="5311" w:type="dxa"/>
            <w:tcBorders>
              <w:top w:val="nil"/>
              <w:left w:val="nil"/>
              <w:bottom w:val="single" w:sz="4" w:space="0" w:color="auto"/>
              <w:right w:val="nil"/>
            </w:tcBorders>
            <w:shd w:val="clear" w:color="auto" w:fill="auto"/>
            <w:vAlign w:val="center"/>
          </w:tcPr>
          <w:p w14:paraId="2CAB3408" w14:textId="238E6140" w:rsidR="00131040" w:rsidRPr="00495094" w:rsidRDefault="004B00EF" w:rsidP="00131040">
            <w:pPr>
              <w:rPr>
                <w:rFonts w:ascii="Arial" w:hAnsi="Arial" w:cs="Arial"/>
                <w:sz w:val="22"/>
                <w:szCs w:val="22"/>
              </w:rPr>
            </w:pPr>
            <w:r w:rsidRPr="00495094">
              <w:rPr>
                <w:rFonts w:ascii="Arial" w:hAnsi="Arial" w:cs="Arial"/>
                <w:sz w:val="22"/>
                <w:szCs w:val="22"/>
              </w:rPr>
              <w:t>Provisions</w:t>
            </w:r>
          </w:p>
        </w:tc>
        <w:tc>
          <w:tcPr>
            <w:tcW w:w="1602" w:type="dxa"/>
            <w:tcBorders>
              <w:top w:val="nil"/>
              <w:left w:val="nil"/>
              <w:bottom w:val="single" w:sz="4" w:space="0" w:color="auto"/>
              <w:right w:val="nil"/>
            </w:tcBorders>
            <w:shd w:val="clear" w:color="auto" w:fill="auto"/>
            <w:vAlign w:val="center"/>
          </w:tcPr>
          <w:p w14:paraId="3EF7EBE0" w14:textId="130B9F2A" w:rsidR="00131040" w:rsidRPr="00495094" w:rsidRDefault="00980D78" w:rsidP="00B345D2">
            <w:pPr>
              <w:jc w:val="right"/>
              <w:rPr>
                <w:rFonts w:ascii="Arial" w:hAnsi="Arial" w:cs="Arial"/>
                <w:sz w:val="22"/>
                <w:szCs w:val="22"/>
              </w:rPr>
            </w:pPr>
            <w:r w:rsidRPr="00495094">
              <w:rPr>
                <w:rFonts w:ascii="Arial" w:hAnsi="Arial" w:cs="Arial"/>
                <w:sz w:val="22"/>
                <w:szCs w:val="22"/>
              </w:rPr>
              <w:t>19,</w:t>
            </w:r>
            <w:r w:rsidR="00B345D2" w:rsidRPr="00495094">
              <w:rPr>
                <w:rFonts w:ascii="Arial" w:hAnsi="Arial" w:cs="Arial"/>
                <w:sz w:val="22"/>
                <w:szCs w:val="22"/>
              </w:rPr>
              <w:t>492</w:t>
            </w:r>
            <w:r w:rsidRPr="00495094">
              <w:rPr>
                <w:rFonts w:ascii="Arial" w:hAnsi="Arial" w:cs="Arial"/>
                <w:sz w:val="22"/>
                <w:szCs w:val="22"/>
              </w:rPr>
              <w:t>,</w:t>
            </w:r>
            <w:r w:rsidR="00B345D2" w:rsidRPr="00495094">
              <w:rPr>
                <w:rFonts w:ascii="Arial" w:hAnsi="Arial" w:cs="Arial"/>
                <w:sz w:val="22"/>
                <w:szCs w:val="22"/>
              </w:rPr>
              <w:t>196</w:t>
            </w:r>
            <w:r w:rsidR="00131040" w:rsidRPr="00495094">
              <w:rPr>
                <w:rFonts w:ascii="Arial" w:hAnsi="Arial" w:cs="Arial"/>
                <w:sz w:val="22"/>
                <w:szCs w:val="22"/>
              </w:rPr>
              <w:t xml:space="preserve">  </w:t>
            </w:r>
          </w:p>
        </w:tc>
        <w:tc>
          <w:tcPr>
            <w:tcW w:w="1619" w:type="dxa"/>
            <w:tcBorders>
              <w:top w:val="nil"/>
              <w:left w:val="nil"/>
              <w:bottom w:val="single" w:sz="4" w:space="0" w:color="auto"/>
              <w:right w:val="nil"/>
            </w:tcBorders>
            <w:shd w:val="clear" w:color="auto" w:fill="auto"/>
            <w:vAlign w:val="center"/>
          </w:tcPr>
          <w:p w14:paraId="4820C977" w14:textId="666ABB00" w:rsidR="00131040" w:rsidRPr="00495094" w:rsidRDefault="00131040" w:rsidP="00EB4BA5">
            <w:pPr>
              <w:ind w:right="-33"/>
              <w:jc w:val="right"/>
              <w:rPr>
                <w:rFonts w:ascii="Arial" w:hAnsi="Arial" w:cs="Arial"/>
                <w:sz w:val="22"/>
                <w:szCs w:val="22"/>
              </w:rPr>
            </w:pPr>
            <w:r w:rsidRPr="00495094">
              <w:rPr>
                <w:rFonts w:ascii="Arial" w:hAnsi="Arial" w:cs="Arial"/>
                <w:sz w:val="22"/>
                <w:szCs w:val="22"/>
              </w:rPr>
              <w:t xml:space="preserve">  (</w:t>
            </w:r>
            <w:r w:rsidR="00EB4BA5" w:rsidRPr="00495094">
              <w:rPr>
                <w:rFonts w:ascii="Arial" w:hAnsi="Arial" w:cs="Arial"/>
                <w:sz w:val="22"/>
                <w:szCs w:val="22"/>
              </w:rPr>
              <w:t>202,651</w:t>
            </w:r>
            <w:r w:rsidRPr="00495094">
              <w:rPr>
                <w:rFonts w:ascii="Arial" w:hAnsi="Arial" w:cs="Arial"/>
                <w:sz w:val="22"/>
                <w:szCs w:val="22"/>
              </w:rPr>
              <w:t>)</w:t>
            </w:r>
          </w:p>
        </w:tc>
      </w:tr>
      <w:tr w:rsidR="00495094" w:rsidRPr="00495094" w14:paraId="4C9AF0EF" w14:textId="77777777" w:rsidTr="003E4921">
        <w:tc>
          <w:tcPr>
            <w:tcW w:w="5311" w:type="dxa"/>
            <w:tcBorders>
              <w:top w:val="nil"/>
              <w:left w:val="nil"/>
              <w:bottom w:val="double" w:sz="6" w:space="0" w:color="auto"/>
              <w:right w:val="nil"/>
            </w:tcBorders>
            <w:shd w:val="clear" w:color="auto" w:fill="auto"/>
            <w:vAlign w:val="center"/>
          </w:tcPr>
          <w:p w14:paraId="5026CA26" w14:textId="77777777" w:rsidR="00131040" w:rsidRPr="00495094" w:rsidRDefault="00131040" w:rsidP="00131040">
            <w:pPr>
              <w:rPr>
                <w:rFonts w:ascii="Arial" w:hAnsi="Arial" w:cs="Arial"/>
                <w:bCs/>
                <w:sz w:val="22"/>
                <w:szCs w:val="22"/>
              </w:rPr>
            </w:pPr>
            <w:r w:rsidRPr="00495094">
              <w:rPr>
                <w:rFonts w:ascii="Arial" w:hAnsi="Arial" w:cs="Arial"/>
                <w:bCs/>
                <w:sz w:val="22"/>
                <w:szCs w:val="22"/>
              </w:rPr>
              <w:t>Balance, December 31 </w:t>
            </w:r>
          </w:p>
        </w:tc>
        <w:tc>
          <w:tcPr>
            <w:tcW w:w="1602" w:type="dxa"/>
            <w:tcBorders>
              <w:top w:val="nil"/>
              <w:left w:val="nil"/>
              <w:bottom w:val="double" w:sz="6" w:space="0" w:color="auto"/>
              <w:right w:val="nil"/>
            </w:tcBorders>
            <w:shd w:val="clear" w:color="auto" w:fill="auto"/>
            <w:vAlign w:val="center"/>
          </w:tcPr>
          <w:p w14:paraId="7B2604A5" w14:textId="1440142D" w:rsidR="00131040" w:rsidRPr="00495094" w:rsidRDefault="00D945C8" w:rsidP="00D945C8">
            <w:pPr>
              <w:ind w:right="27"/>
              <w:jc w:val="right"/>
              <w:rPr>
                <w:rFonts w:ascii="Arial" w:hAnsi="Arial" w:cs="Arial"/>
                <w:sz w:val="22"/>
                <w:szCs w:val="22"/>
              </w:rPr>
            </w:pPr>
            <w:r w:rsidRPr="00495094">
              <w:rPr>
                <w:rFonts w:ascii="Arial" w:hAnsi="Arial" w:cs="Arial"/>
                <w:sz w:val="22"/>
                <w:szCs w:val="22"/>
              </w:rPr>
              <w:t xml:space="preserve">  19,520,996</w:t>
            </w:r>
          </w:p>
        </w:tc>
        <w:tc>
          <w:tcPr>
            <w:tcW w:w="1619" w:type="dxa"/>
            <w:tcBorders>
              <w:top w:val="nil"/>
              <w:left w:val="nil"/>
              <w:bottom w:val="double" w:sz="6" w:space="0" w:color="auto"/>
              <w:right w:val="nil"/>
            </w:tcBorders>
            <w:shd w:val="clear" w:color="auto" w:fill="auto"/>
            <w:vAlign w:val="center"/>
          </w:tcPr>
          <w:p w14:paraId="7C8D1CE8" w14:textId="37AF1C9A" w:rsidR="00131040" w:rsidRPr="00495094" w:rsidRDefault="00131040" w:rsidP="00EB4BA5">
            <w:pPr>
              <w:ind w:right="27"/>
              <w:jc w:val="right"/>
              <w:rPr>
                <w:rFonts w:ascii="Arial" w:hAnsi="Arial" w:cs="Arial"/>
                <w:bCs/>
                <w:sz w:val="22"/>
                <w:szCs w:val="22"/>
              </w:rPr>
            </w:pPr>
            <w:r w:rsidRPr="00495094">
              <w:rPr>
                <w:rFonts w:ascii="Arial" w:hAnsi="Arial" w:cs="Arial"/>
                <w:sz w:val="22"/>
                <w:szCs w:val="22"/>
              </w:rPr>
              <w:t>2</w:t>
            </w:r>
            <w:r w:rsidR="00EB4BA5" w:rsidRPr="00495094">
              <w:rPr>
                <w:rFonts w:ascii="Arial" w:hAnsi="Arial" w:cs="Arial"/>
                <w:sz w:val="22"/>
                <w:szCs w:val="22"/>
              </w:rPr>
              <w:t>8</w:t>
            </w:r>
            <w:r w:rsidRPr="00495094">
              <w:rPr>
                <w:rFonts w:ascii="Arial" w:hAnsi="Arial" w:cs="Arial"/>
                <w:sz w:val="22"/>
                <w:szCs w:val="22"/>
              </w:rPr>
              <w:t>,</w:t>
            </w:r>
            <w:r w:rsidR="00EB4BA5" w:rsidRPr="00495094">
              <w:rPr>
                <w:rFonts w:ascii="Arial" w:hAnsi="Arial" w:cs="Arial"/>
                <w:sz w:val="22"/>
                <w:szCs w:val="22"/>
              </w:rPr>
              <w:t>800</w:t>
            </w:r>
          </w:p>
        </w:tc>
      </w:tr>
    </w:tbl>
    <w:p w14:paraId="31A79FBB" w14:textId="77777777" w:rsidR="00B43156" w:rsidRPr="00495094" w:rsidRDefault="00B43156" w:rsidP="00D923C6">
      <w:pPr>
        <w:pStyle w:val="BodyTextIndent2"/>
        <w:ind w:left="0"/>
        <w:rPr>
          <w:rFonts w:ascii="Arial" w:hAnsi="Arial" w:cs="Arial"/>
          <w:bCs/>
          <w:sz w:val="22"/>
          <w:szCs w:val="22"/>
          <w:u w:val="single"/>
        </w:rPr>
      </w:pPr>
    </w:p>
    <w:p w14:paraId="3C705B7C" w14:textId="77777777" w:rsidR="006D37E3" w:rsidRPr="00495094" w:rsidRDefault="006D37E3" w:rsidP="00D923C6">
      <w:pPr>
        <w:pStyle w:val="BodyTextIndent2"/>
        <w:ind w:left="0"/>
        <w:rPr>
          <w:rFonts w:ascii="Arial" w:hAnsi="Arial" w:cs="Arial"/>
          <w:bCs/>
          <w:sz w:val="22"/>
          <w:szCs w:val="22"/>
          <w:u w:val="single"/>
        </w:rPr>
      </w:pPr>
      <w:r w:rsidRPr="00495094">
        <w:rPr>
          <w:rFonts w:ascii="Arial" w:hAnsi="Arial" w:cs="Arial"/>
          <w:bCs/>
          <w:sz w:val="22"/>
          <w:szCs w:val="22"/>
          <w:u w:val="single"/>
        </w:rPr>
        <w:t>As to Status:</w:t>
      </w:r>
    </w:p>
    <w:p w14:paraId="3D728B99" w14:textId="77777777" w:rsidR="006D37E3" w:rsidRPr="00495094" w:rsidRDefault="006D37E3" w:rsidP="008D0E35">
      <w:pPr>
        <w:rPr>
          <w:rFonts w:ascii="Arial" w:hAnsi="Arial" w:cs="Arial"/>
          <w:b/>
          <w:bCs/>
          <w:sz w:val="22"/>
          <w:szCs w:val="22"/>
          <w:u w:val="single"/>
        </w:rPr>
      </w:pPr>
    </w:p>
    <w:tbl>
      <w:tblPr>
        <w:tblW w:w="0" w:type="auto"/>
        <w:tblInd w:w="108" w:type="dxa"/>
        <w:tblLook w:val="04A0" w:firstRow="1" w:lastRow="0" w:firstColumn="1" w:lastColumn="0" w:noHBand="0" w:noVBand="1"/>
      </w:tblPr>
      <w:tblGrid>
        <w:gridCol w:w="5179"/>
        <w:gridCol w:w="1623"/>
        <w:gridCol w:w="1612"/>
      </w:tblGrid>
      <w:tr w:rsidR="00495094" w:rsidRPr="00495094" w14:paraId="49310809" w14:textId="77777777" w:rsidTr="003E4921">
        <w:trPr>
          <w:tblHeader/>
        </w:trPr>
        <w:tc>
          <w:tcPr>
            <w:tcW w:w="5286" w:type="dxa"/>
            <w:tcBorders>
              <w:top w:val="single" w:sz="4" w:space="0" w:color="auto"/>
              <w:left w:val="nil"/>
              <w:bottom w:val="single" w:sz="4" w:space="0" w:color="auto"/>
              <w:right w:val="nil"/>
            </w:tcBorders>
            <w:shd w:val="clear" w:color="auto" w:fill="auto"/>
            <w:vAlign w:val="center"/>
          </w:tcPr>
          <w:p w14:paraId="6E624778" w14:textId="77777777" w:rsidR="00CC7527" w:rsidRPr="00495094" w:rsidRDefault="00CC7527" w:rsidP="00CC7527">
            <w:pPr>
              <w:rPr>
                <w:rFonts w:ascii="Arial" w:hAnsi="Arial" w:cs="Arial"/>
                <w:sz w:val="22"/>
                <w:szCs w:val="22"/>
                <w:lang w:val="en-PH" w:eastAsia="en-PH"/>
              </w:rPr>
            </w:pPr>
            <w:r w:rsidRPr="00495094">
              <w:rPr>
                <w:rFonts w:ascii="Arial" w:hAnsi="Arial" w:cs="Arial"/>
                <w:sz w:val="22"/>
                <w:szCs w:val="22"/>
              </w:rPr>
              <w:t> </w:t>
            </w:r>
          </w:p>
        </w:tc>
        <w:tc>
          <w:tcPr>
            <w:tcW w:w="1623" w:type="dxa"/>
            <w:tcBorders>
              <w:top w:val="single" w:sz="4" w:space="0" w:color="auto"/>
              <w:left w:val="nil"/>
              <w:bottom w:val="single" w:sz="4" w:space="0" w:color="auto"/>
              <w:right w:val="nil"/>
            </w:tcBorders>
            <w:shd w:val="clear" w:color="auto" w:fill="auto"/>
          </w:tcPr>
          <w:p w14:paraId="4B5CAD18" w14:textId="54667E07" w:rsidR="00CC7527" w:rsidRPr="00495094" w:rsidRDefault="009032F9" w:rsidP="00FF1ECB">
            <w:pPr>
              <w:jc w:val="center"/>
              <w:rPr>
                <w:rFonts w:ascii="Arial" w:hAnsi="Arial" w:cs="Arial"/>
                <w:b/>
                <w:bCs/>
                <w:sz w:val="22"/>
                <w:szCs w:val="22"/>
              </w:rPr>
            </w:pPr>
            <w:r w:rsidRPr="00495094">
              <w:rPr>
                <w:rFonts w:ascii="Arial" w:hAnsi="Arial" w:cs="Arial"/>
                <w:b/>
                <w:bCs/>
                <w:sz w:val="22"/>
                <w:szCs w:val="22"/>
              </w:rPr>
              <w:t>2022</w:t>
            </w:r>
          </w:p>
        </w:tc>
        <w:tc>
          <w:tcPr>
            <w:tcW w:w="1623" w:type="dxa"/>
            <w:tcBorders>
              <w:top w:val="single" w:sz="4" w:space="0" w:color="auto"/>
              <w:left w:val="nil"/>
              <w:bottom w:val="single" w:sz="4" w:space="0" w:color="auto"/>
              <w:right w:val="nil"/>
            </w:tcBorders>
            <w:shd w:val="clear" w:color="auto" w:fill="auto"/>
          </w:tcPr>
          <w:p w14:paraId="0E4D5E8D" w14:textId="07080A68" w:rsidR="00CC7527" w:rsidRPr="00495094" w:rsidRDefault="00D230E1" w:rsidP="005F7870">
            <w:pPr>
              <w:jc w:val="center"/>
              <w:rPr>
                <w:rFonts w:ascii="Arial" w:hAnsi="Arial" w:cs="Arial"/>
                <w:b/>
                <w:bCs/>
                <w:sz w:val="22"/>
                <w:szCs w:val="22"/>
              </w:rPr>
            </w:pPr>
            <w:r w:rsidRPr="00495094">
              <w:rPr>
                <w:rFonts w:ascii="Arial" w:hAnsi="Arial" w:cs="Arial"/>
                <w:b/>
                <w:bCs/>
                <w:sz w:val="22"/>
                <w:szCs w:val="22"/>
              </w:rPr>
              <w:t>2021</w:t>
            </w:r>
          </w:p>
        </w:tc>
      </w:tr>
      <w:tr w:rsidR="00495094" w:rsidRPr="00495094" w14:paraId="29E79F63" w14:textId="77777777" w:rsidTr="003E4921">
        <w:tc>
          <w:tcPr>
            <w:tcW w:w="5286" w:type="dxa"/>
            <w:tcBorders>
              <w:top w:val="nil"/>
              <w:left w:val="nil"/>
              <w:bottom w:val="nil"/>
              <w:right w:val="nil"/>
            </w:tcBorders>
            <w:shd w:val="clear" w:color="auto" w:fill="auto"/>
            <w:vAlign w:val="center"/>
          </w:tcPr>
          <w:p w14:paraId="790E1FAD" w14:textId="77777777" w:rsidR="00131040" w:rsidRPr="00495094" w:rsidRDefault="00131040" w:rsidP="00131040">
            <w:pPr>
              <w:rPr>
                <w:rFonts w:ascii="Arial" w:hAnsi="Arial" w:cs="Arial"/>
                <w:sz w:val="22"/>
                <w:szCs w:val="22"/>
              </w:rPr>
            </w:pPr>
            <w:r w:rsidRPr="00495094">
              <w:rPr>
                <w:rFonts w:ascii="Arial" w:hAnsi="Arial" w:cs="Arial"/>
                <w:sz w:val="22"/>
                <w:szCs w:val="22"/>
              </w:rPr>
              <w:t>Current Loans</w:t>
            </w:r>
          </w:p>
        </w:tc>
        <w:tc>
          <w:tcPr>
            <w:tcW w:w="1623" w:type="dxa"/>
            <w:tcBorders>
              <w:top w:val="nil"/>
              <w:left w:val="nil"/>
              <w:bottom w:val="nil"/>
              <w:right w:val="nil"/>
            </w:tcBorders>
            <w:shd w:val="clear" w:color="auto" w:fill="auto"/>
            <w:vAlign w:val="center"/>
          </w:tcPr>
          <w:p w14:paraId="2DE22AF5" w14:textId="5D2FA47D" w:rsidR="00131040" w:rsidRPr="00495094" w:rsidRDefault="00D230E1" w:rsidP="00D230E1">
            <w:pPr>
              <w:jc w:val="right"/>
              <w:rPr>
                <w:rFonts w:ascii="Arial" w:hAnsi="Arial" w:cs="Arial"/>
                <w:sz w:val="22"/>
                <w:szCs w:val="22"/>
              </w:rPr>
            </w:pPr>
            <w:r w:rsidRPr="00495094">
              <w:rPr>
                <w:rFonts w:ascii="Arial" w:hAnsi="Arial" w:cs="Arial"/>
                <w:sz w:val="22"/>
                <w:szCs w:val="22"/>
              </w:rPr>
              <w:t>1,854,869,013</w:t>
            </w:r>
          </w:p>
        </w:tc>
        <w:tc>
          <w:tcPr>
            <w:tcW w:w="1623" w:type="dxa"/>
            <w:tcBorders>
              <w:top w:val="nil"/>
              <w:left w:val="nil"/>
              <w:bottom w:val="nil"/>
              <w:right w:val="nil"/>
            </w:tcBorders>
            <w:shd w:val="clear" w:color="auto" w:fill="auto"/>
            <w:vAlign w:val="center"/>
          </w:tcPr>
          <w:p w14:paraId="5896BD43" w14:textId="2320A334" w:rsidR="00131040" w:rsidRPr="00495094" w:rsidRDefault="00D230E1" w:rsidP="00131040">
            <w:pPr>
              <w:jc w:val="right"/>
              <w:rPr>
                <w:rFonts w:ascii="Arial" w:hAnsi="Arial" w:cs="Arial"/>
                <w:sz w:val="22"/>
                <w:szCs w:val="22"/>
              </w:rPr>
            </w:pPr>
            <w:r w:rsidRPr="00495094">
              <w:rPr>
                <w:rFonts w:ascii="Arial" w:hAnsi="Arial" w:cs="Arial"/>
                <w:sz w:val="22"/>
                <w:szCs w:val="22"/>
              </w:rPr>
              <w:t>0</w:t>
            </w:r>
          </w:p>
        </w:tc>
      </w:tr>
      <w:tr w:rsidR="00495094" w:rsidRPr="00495094" w14:paraId="579881EB" w14:textId="77777777" w:rsidTr="003E4921">
        <w:tc>
          <w:tcPr>
            <w:tcW w:w="5286" w:type="dxa"/>
            <w:tcBorders>
              <w:top w:val="nil"/>
              <w:left w:val="nil"/>
              <w:bottom w:val="single" w:sz="4" w:space="0" w:color="auto"/>
              <w:right w:val="nil"/>
            </w:tcBorders>
            <w:shd w:val="clear" w:color="auto" w:fill="auto"/>
            <w:vAlign w:val="center"/>
          </w:tcPr>
          <w:p w14:paraId="35DA6FF5" w14:textId="77777777" w:rsidR="00131040" w:rsidRPr="00495094" w:rsidRDefault="00131040" w:rsidP="00131040">
            <w:pPr>
              <w:rPr>
                <w:rFonts w:ascii="Arial" w:hAnsi="Arial" w:cs="Arial"/>
                <w:sz w:val="22"/>
                <w:szCs w:val="22"/>
              </w:rPr>
            </w:pPr>
            <w:r w:rsidRPr="00495094">
              <w:rPr>
                <w:rFonts w:ascii="Arial" w:hAnsi="Arial" w:cs="Arial"/>
                <w:sz w:val="22"/>
                <w:szCs w:val="22"/>
              </w:rPr>
              <w:t>Non-Performing Loans</w:t>
            </w:r>
          </w:p>
        </w:tc>
        <w:tc>
          <w:tcPr>
            <w:tcW w:w="1623" w:type="dxa"/>
            <w:tcBorders>
              <w:top w:val="nil"/>
              <w:left w:val="nil"/>
              <w:bottom w:val="single" w:sz="4" w:space="0" w:color="auto"/>
              <w:right w:val="nil"/>
            </w:tcBorders>
            <w:shd w:val="clear" w:color="auto" w:fill="auto"/>
            <w:vAlign w:val="center"/>
          </w:tcPr>
          <w:p w14:paraId="1805DF6D" w14:textId="50858D90" w:rsidR="00131040" w:rsidRPr="00495094" w:rsidRDefault="00D230E1" w:rsidP="00131040">
            <w:pPr>
              <w:jc w:val="right"/>
              <w:rPr>
                <w:rFonts w:ascii="Arial" w:hAnsi="Arial" w:cs="Arial"/>
                <w:sz w:val="22"/>
                <w:szCs w:val="22"/>
              </w:rPr>
            </w:pPr>
            <w:r w:rsidRPr="00495094">
              <w:rPr>
                <w:rFonts w:ascii="Arial" w:hAnsi="Arial" w:cs="Arial"/>
                <w:sz w:val="22"/>
                <w:szCs w:val="22"/>
              </w:rPr>
              <w:t>11,251,056</w:t>
            </w:r>
          </w:p>
        </w:tc>
        <w:tc>
          <w:tcPr>
            <w:tcW w:w="1623" w:type="dxa"/>
            <w:tcBorders>
              <w:top w:val="nil"/>
              <w:left w:val="nil"/>
              <w:bottom w:val="single" w:sz="4" w:space="0" w:color="auto"/>
              <w:right w:val="nil"/>
            </w:tcBorders>
            <w:shd w:val="clear" w:color="auto" w:fill="auto"/>
            <w:vAlign w:val="center"/>
          </w:tcPr>
          <w:p w14:paraId="34590EC6" w14:textId="5D03A762" w:rsidR="00131040" w:rsidRPr="00495094" w:rsidRDefault="00D230E1" w:rsidP="00131040">
            <w:pPr>
              <w:jc w:val="right"/>
              <w:rPr>
                <w:rFonts w:ascii="Arial" w:hAnsi="Arial" w:cs="Arial"/>
                <w:sz w:val="22"/>
                <w:szCs w:val="22"/>
              </w:rPr>
            </w:pPr>
            <w:r w:rsidRPr="00495094">
              <w:rPr>
                <w:rFonts w:ascii="Arial" w:hAnsi="Arial" w:cs="Arial"/>
                <w:sz w:val="22"/>
                <w:szCs w:val="22"/>
              </w:rPr>
              <w:t>2,158,501</w:t>
            </w:r>
          </w:p>
        </w:tc>
      </w:tr>
      <w:tr w:rsidR="00495094" w:rsidRPr="00495094" w14:paraId="6EF57F39" w14:textId="77777777" w:rsidTr="003E4921">
        <w:tc>
          <w:tcPr>
            <w:tcW w:w="5286" w:type="dxa"/>
            <w:tcBorders>
              <w:top w:val="nil"/>
              <w:left w:val="nil"/>
              <w:bottom w:val="double" w:sz="6" w:space="0" w:color="auto"/>
              <w:right w:val="nil"/>
            </w:tcBorders>
            <w:shd w:val="clear" w:color="auto" w:fill="auto"/>
            <w:vAlign w:val="center"/>
          </w:tcPr>
          <w:p w14:paraId="10BCF2DC" w14:textId="77777777" w:rsidR="00131040" w:rsidRPr="00495094" w:rsidRDefault="00131040" w:rsidP="00131040">
            <w:pPr>
              <w:rPr>
                <w:rFonts w:ascii="Arial" w:hAnsi="Arial" w:cs="Arial"/>
                <w:bCs/>
                <w:sz w:val="22"/>
                <w:szCs w:val="22"/>
              </w:rPr>
            </w:pPr>
            <w:r w:rsidRPr="00495094">
              <w:rPr>
                <w:rFonts w:ascii="Arial" w:hAnsi="Arial" w:cs="Arial"/>
                <w:bCs/>
                <w:sz w:val="22"/>
                <w:szCs w:val="22"/>
              </w:rPr>
              <w:t> </w:t>
            </w:r>
          </w:p>
        </w:tc>
        <w:tc>
          <w:tcPr>
            <w:tcW w:w="1623" w:type="dxa"/>
            <w:tcBorders>
              <w:top w:val="nil"/>
              <w:left w:val="nil"/>
              <w:bottom w:val="double" w:sz="6" w:space="0" w:color="auto"/>
              <w:right w:val="nil"/>
            </w:tcBorders>
            <w:shd w:val="clear" w:color="auto" w:fill="auto"/>
            <w:vAlign w:val="center"/>
          </w:tcPr>
          <w:p w14:paraId="3BBD9745" w14:textId="048B84F5" w:rsidR="00131040" w:rsidRPr="00495094" w:rsidRDefault="00D230E1" w:rsidP="00131040">
            <w:pPr>
              <w:jc w:val="right"/>
              <w:rPr>
                <w:rFonts w:ascii="Arial" w:hAnsi="Arial" w:cs="Arial"/>
                <w:bCs/>
                <w:sz w:val="22"/>
                <w:szCs w:val="22"/>
              </w:rPr>
            </w:pPr>
            <w:r w:rsidRPr="00495094">
              <w:rPr>
                <w:rFonts w:ascii="Arial" w:hAnsi="Arial" w:cs="Arial"/>
                <w:bCs/>
                <w:sz w:val="22"/>
                <w:szCs w:val="22"/>
              </w:rPr>
              <w:t>1,866,120,069</w:t>
            </w:r>
          </w:p>
        </w:tc>
        <w:tc>
          <w:tcPr>
            <w:tcW w:w="1623" w:type="dxa"/>
            <w:tcBorders>
              <w:top w:val="nil"/>
              <w:left w:val="nil"/>
              <w:bottom w:val="double" w:sz="6" w:space="0" w:color="auto"/>
              <w:right w:val="nil"/>
            </w:tcBorders>
            <w:shd w:val="clear" w:color="auto" w:fill="auto"/>
            <w:vAlign w:val="center"/>
          </w:tcPr>
          <w:p w14:paraId="7361187E" w14:textId="3575F340" w:rsidR="00131040" w:rsidRPr="00495094" w:rsidRDefault="00D230E1" w:rsidP="00131040">
            <w:pPr>
              <w:jc w:val="right"/>
              <w:rPr>
                <w:rFonts w:ascii="Arial" w:hAnsi="Arial" w:cs="Arial"/>
                <w:bCs/>
                <w:sz w:val="22"/>
                <w:szCs w:val="22"/>
              </w:rPr>
            </w:pPr>
            <w:r w:rsidRPr="00495094">
              <w:rPr>
                <w:rFonts w:ascii="Arial" w:hAnsi="Arial" w:cs="Arial"/>
                <w:bCs/>
                <w:sz w:val="22"/>
                <w:szCs w:val="22"/>
              </w:rPr>
              <w:t>2,158,501</w:t>
            </w:r>
          </w:p>
        </w:tc>
      </w:tr>
    </w:tbl>
    <w:p w14:paraId="5B1EABCF" w14:textId="77777777" w:rsidR="006D37E3" w:rsidRPr="00495094" w:rsidRDefault="006D37E3" w:rsidP="008D0E35">
      <w:pPr>
        <w:rPr>
          <w:rFonts w:ascii="Arial" w:hAnsi="Arial" w:cs="Arial"/>
          <w:sz w:val="22"/>
          <w:szCs w:val="22"/>
        </w:rPr>
      </w:pPr>
      <w:r w:rsidRPr="00495094">
        <w:rPr>
          <w:rFonts w:ascii="Arial" w:hAnsi="Arial" w:cs="Arial"/>
          <w:sz w:val="22"/>
          <w:szCs w:val="22"/>
        </w:rPr>
        <w:tab/>
      </w:r>
    </w:p>
    <w:p w14:paraId="457668BF" w14:textId="77777777" w:rsidR="006D37E3" w:rsidRPr="00495094" w:rsidRDefault="006D37E3" w:rsidP="008D0E35">
      <w:pPr>
        <w:rPr>
          <w:rFonts w:ascii="Arial" w:hAnsi="Arial" w:cs="Arial"/>
          <w:bCs/>
          <w:sz w:val="22"/>
          <w:szCs w:val="22"/>
        </w:rPr>
      </w:pPr>
      <w:r w:rsidRPr="00495094">
        <w:rPr>
          <w:rFonts w:ascii="Arial" w:hAnsi="Arial" w:cs="Arial"/>
          <w:bCs/>
          <w:sz w:val="22"/>
          <w:szCs w:val="22"/>
          <w:u w:val="single"/>
        </w:rPr>
        <w:t>As to Security</w:t>
      </w:r>
      <w:r w:rsidRPr="00495094">
        <w:rPr>
          <w:rFonts w:ascii="Arial" w:hAnsi="Arial" w:cs="Arial"/>
          <w:bCs/>
          <w:sz w:val="22"/>
          <w:szCs w:val="22"/>
        </w:rPr>
        <w:t>:</w:t>
      </w:r>
    </w:p>
    <w:p w14:paraId="6A9D4D5D" w14:textId="77777777" w:rsidR="006D37E3" w:rsidRPr="00495094" w:rsidRDefault="006D37E3" w:rsidP="008D0E35">
      <w:pPr>
        <w:rPr>
          <w:rFonts w:ascii="Arial" w:hAnsi="Arial" w:cs="Arial"/>
          <w:b/>
          <w:bCs/>
          <w:sz w:val="22"/>
          <w:szCs w:val="22"/>
        </w:rPr>
      </w:pPr>
    </w:p>
    <w:tbl>
      <w:tblPr>
        <w:tblW w:w="0" w:type="auto"/>
        <w:tblInd w:w="108" w:type="dxa"/>
        <w:tblLook w:val="04A0" w:firstRow="1" w:lastRow="0" w:firstColumn="1" w:lastColumn="0" w:noHBand="0" w:noVBand="1"/>
      </w:tblPr>
      <w:tblGrid>
        <w:gridCol w:w="5179"/>
        <w:gridCol w:w="1623"/>
        <w:gridCol w:w="1612"/>
      </w:tblGrid>
      <w:tr w:rsidR="00495094" w:rsidRPr="00495094" w14:paraId="55FD2ED3" w14:textId="77777777" w:rsidTr="003E4921">
        <w:tc>
          <w:tcPr>
            <w:tcW w:w="5286" w:type="dxa"/>
            <w:tcBorders>
              <w:top w:val="single" w:sz="4" w:space="0" w:color="auto"/>
              <w:left w:val="nil"/>
              <w:bottom w:val="single" w:sz="4" w:space="0" w:color="auto"/>
              <w:right w:val="nil"/>
            </w:tcBorders>
            <w:shd w:val="clear" w:color="auto" w:fill="auto"/>
            <w:vAlign w:val="center"/>
          </w:tcPr>
          <w:p w14:paraId="2FADCACB" w14:textId="77777777" w:rsidR="00CC7527" w:rsidRPr="00495094" w:rsidRDefault="00CC7527" w:rsidP="00CC7527">
            <w:pPr>
              <w:rPr>
                <w:rFonts w:ascii="Arial" w:hAnsi="Arial" w:cs="Arial"/>
                <w:sz w:val="22"/>
                <w:szCs w:val="22"/>
                <w:lang w:val="en-PH" w:eastAsia="en-PH"/>
              </w:rPr>
            </w:pPr>
            <w:r w:rsidRPr="00495094">
              <w:rPr>
                <w:rFonts w:ascii="Arial" w:hAnsi="Arial" w:cs="Arial"/>
                <w:sz w:val="22"/>
                <w:szCs w:val="22"/>
              </w:rPr>
              <w:t> </w:t>
            </w:r>
          </w:p>
        </w:tc>
        <w:tc>
          <w:tcPr>
            <w:tcW w:w="1623" w:type="dxa"/>
            <w:tcBorders>
              <w:top w:val="single" w:sz="4" w:space="0" w:color="auto"/>
              <w:left w:val="nil"/>
              <w:bottom w:val="single" w:sz="4" w:space="0" w:color="auto"/>
              <w:right w:val="nil"/>
            </w:tcBorders>
            <w:shd w:val="clear" w:color="auto" w:fill="auto"/>
          </w:tcPr>
          <w:p w14:paraId="394997B3" w14:textId="6FF08719" w:rsidR="00CC7527" w:rsidRPr="00495094" w:rsidRDefault="009032F9" w:rsidP="00C42EA5">
            <w:pPr>
              <w:jc w:val="center"/>
              <w:rPr>
                <w:rFonts w:ascii="Arial" w:hAnsi="Arial" w:cs="Arial"/>
                <w:b/>
                <w:bCs/>
                <w:sz w:val="22"/>
                <w:szCs w:val="22"/>
              </w:rPr>
            </w:pPr>
            <w:r w:rsidRPr="00495094">
              <w:rPr>
                <w:rFonts w:ascii="Arial" w:hAnsi="Arial" w:cs="Arial"/>
                <w:b/>
                <w:bCs/>
                <w:sz w:val="22"/>
                <w:szCs w:val="22"/>
              </w:rPr>
              <w:t>2022</w:t>
            </w:r>
          </w:p>
        </w:tc>
        <w:tc>
          <w:tcPr>
            <w:tcW w:w="1623" w:type="dxa"/>
            <w:tcBorders>
              <w:top w:val="single" w:sz="4" w:space="0" w:color="auto"/>
              <w:left w:val="nil"/>
              <w:bottom w:val="single" w:sz="4" w:space="0" w:color="auto"/>
              <w:right w:val="nil"/>
            </w:tcBorders>
            <w:shd w:val="clear" w:color="auto" w:fill="auto"/>
            <w:vAlign w:val="center"/>
          </w:tcPr>
          <w:p w14:paraId="574D9294" w14:textId="58460CA1" w:rsidR="00CC7527" w:rsidRPr="00495094" w:rsidRDefault="00D230E1" w:rsidP="00CC7527">
            <w:pPr>
              <w:jc w:val="center"/>
              <w:rPr>
                <w:rFonts w:ascii="Arial" w:hAnsi="Arial" w:cs="Arial"/>
                <w:b/>
                <w:bCs/>
                <w:sz w:val="22"/>
                <w:szCs w:val="22"/>
              </w:rPr>
            </w:pPr>
            <w:r w:rsidRPr="00495094">
              <w:rPr>
                <w:rFonts w:ascii="Arial" w:hAnsi="Arial" w:cs="Arial"/>
                <w:b/>
                <w:bCs/>
                <w:sz w:val="22"/>
                <w:szCs w:val="22"/>
              </w:rPr>
              <w:t xml:space="preserve">  2021</w:t>
            </w:r>
            <w:r w:rsidR="00CC7527" w:rsidRPr="00495094">
              <w:rPr>
                <w:rFonts w:ascii="Arial" w:hAnsi="Arial" w:cs="Arial"/>
                <w:b/>
                <w:bCs/>
                <w:sz w:val="22"/>
                <w:szCs w:val="22"/>
              </w:rPr>
              <w:t xml:space="preserve">   </w:t>
            </w:r>
            <w:r w:rsidR="00723693" w:rsidRPr="00495094">
              <w:rPr>
                <w:rFonts w:ascii="Arial" w:hAnsi="Arial" w:cs="Arial"/>
                <w:b/>
                <w:bCs/>
                <w:sz w:val="22"/>
                <w:szCs w:val="22"/>
              </w:rPr>
              <w:t xml:space="preserve">                   </w:t>
            </w:r>
          </w:p>
        </w:tc>
      </w:tr>
      <w:tr w:rsidR="00495094" w:rsidRPr="00495094" w14:paraId="47F00505" w14:textId="77777777" w:rsidTr="003E4921">
        <w:tc>
          <w:tcPr>
            <w:tcW w:w="5286" w:type="dxa"/>
            <w:tcBorders>
              <w:top w:val="nil"/>
              <w:left w:val="nil"/>
              <w:bottom w:val="nil"/>
              <w:right w:val="nil"/>
            </w:tcBorders>
            <w:shd w:val="clear" w:color="auto" w:fill="auto"/>
            <w:vAlign w:val="center"/>
          </w:tcPr>
          <w:p w14:paraId="6CFA468A" w14:textId="77777777" w:rsidR="00131040" w:rsidRPr="00495094" w:rsidRDefault="00131040" w:rsidP="00131040">
            <w:pPr>
              <w:rPr>
                <w:rFonts w:ascii="Arial" w:hAnsi="Arial" w:cs="Arial"/>
                <w:sz w:val="22"/>
                <w:szCs w:val="22"/>
              </w:rPr>
            </w:pPr>
            <w:r w:rsidRPr="00495094">
              <w:rPr>
                <w:rFonts w:ascii="Arial" w:hAnsi="Arial" w:cs="Arial"/>
                <w:sz w:val="22"/>
                <w:szCs w:val="22"/>
              </w:rPr>
              <w:t>Secured Loans</w:t>
            </w:r>
          </w:p>
        </w:tc>
        <w:tc>
          <w:tcPr>
            <w:tcW w:w="1623" w:type="dxa"/>
            <w:tcBorders>
              <w:top w:val="nil"/>
              <w:left w:val="nil"/>
              <w:bottom w:val="nil"/>
              <w:right w:val="nil"/>
            </w:tcBorders>
            <w:shd w:val="clear" w:color="auto" w:fill="auto"/>
            <w:vAlign w:val="center"/>
          </w:tcPr>
          <w:p w14:paraId="58711FEE" w14:textId="2CD6A11C" w:rsidR="00131040" w:rsidRPr="00495094" w:rsidRDefault="00131040" w:rsidP="00131040">
            <w:pPr>
              <w:jc w:val="right"/>
              <w:rPr>
                <w:rFonts w:ascii="Arial" w:hAnsi="Arial" w:cs="Arial"/>
                <w:sz w:val="22"/>
                <w:szCs w:val="22"/>
              </w:rPr>
            </w:pPr>
            <w:r w:rsidRPr="00495094">
              <w:rPr>
                <w:rFonts w:ascii="Arial" w:hAnsi="Arial" w:cs="Arial"/>
                <w:sz w:val="22"/>
                <w:szCs w:val="22"/>
              </w:rPr>
              <w:t>0</w:t>
            </w:r>
          </w:p>
        </w:tc>
        <w:tc>
          <w:tcPr>
            <w:tcW w:w="1623" w:type="dxa"/>
            <w:tcBorders>
              <w:top w:val="nil"/>
              <w:left w:val="nil"/>
              <w:bottom w:val="nil"/>
              <w:right w:val="nil"/>
            </w:tcBorders>
            <w:shd w:val="clear" w:color="auto" w:fill="auto"/>
            <w:vAlign w:val="center"/>
          </w:tcPr>
          <w:p w14:paraId="06E2DAC9" w14:textId="2C93E6D2" w:rsidR="00131040" w:rsidRPr="00495094" w:rsidRDefault="00131040" w:rsidP="00131040">
            <w:pPr>
              <w:jc w:val="right"/>
              <w:rPr>
                <w:rFonts w:ascii="Arial" w:hAnsi="Arial" w:cs="Arial"/>
                <w:sz w:val="22"/>
                <w:szCs w:val="22"/>
              </w:rPr>
            </w:pPr>
            <w:r w:rsidRPr="00495094">
              <w:rPr>
                <w:rFonts w:ascii="Arial" w:hAnsi="Arial" w:cs="Arial"/>
                <w:sz w:val="22"/>
                <w:szCs w:val="22"/>
              </w:rPr>
              <w:t>0</w:t>
            </w:r>
          </w:p>
        </w:tc>
      </w:tr>
      <w:tr w:rsidR="00495094" w:rsidRPr="00495094" w14:paraId="52DCF6F7" w14:textId="77777777" w:rsidTr="003E4921">
        <w:tc>
          <w:tcPr>
            <w:tcW w:w="5286" w:type="dxa"/>
            <w:tcBorders>
              <w:top w:val="nil"/>
              <w:left w:val="nil"/>
              <w:bottom w:val="single" w:sz="4" w:space="0" w:color="auto"/>
              <w:right w:val="nil"/>
            </w:tcBorders>
            <w:shd w:val="clear" w:color="auto" w:fill="auto"/>
            <w:vAlign w:val="center"/>
          </w:tcPr>
          <w:p w14:paraId="5DFD6CE7" w14:textId="77777777" w:rsidR="00131040" w:rsidRPr="00495094" w:rsidRDefault="00131040" w:rsidP="00131040">
            <w:pPr>
              <w:rPr>
                <w:rFonts w:ascii="Arial" w:hAnsi="Arial" w:cs="Arial"/>
                <w:sz w:val="22"/>
                <w:szCs w:val="22"/>
              </w:rPr>
            </w:pPr>
            <w:r w:rsidRPr="00495094">
              <w:rPr>
                <w:rFonts w:ascii="Arial" w:hAnsi="Arial" w:cs="Arial"/>
                <w:sz w:val="22"/>
                <w:szCs w:val="22"/>
              </w:rPr>
              <w:t>Unsecured Loans</w:t>
            </w:r>
          </w:p>
        </w:tc>
        <w:tc>
          <w:tcPr>
            <w:tcW w:w="1623" w:type="dxa"/>
            <w:tcBorders>
              <w:top w:val="nil"/>
              <w:left w:val="nil"/>
              <w:bottom w:val="single" w:sz="4" w:space="0" w:color="auto"/>
              <w:right w:val="nil"/>
            </w:tcBorders>
            <w:shd w:val="clear" w:color="auto" w:fill="auto"/>
            <w:vAlign w:val="center"/>
          </w:tcPr>
          <w:p w14:paraId="5E47BCD2" w14:textId="330C608F" w:rsidR="00131040" w:rsidRPr="00495094" w:rsidRDefault="00D230E1" w:rsidP="00131040">
            <w:pPr>
              <w:jc w:val="right"/>
              <w:rPr>
                <w:rFonts w:ascii="Arial" w:hAnsi="Arial" w:cs="Arial"/>
                <w:sz w:val="22"/>
                <w:szCs w:val="22"/>
              </w:rPr>
            </w:pPr>
            <w:r w:rsidRPr="00495094">
              <w:rPr>
                <w:rFonts w:ascii="Arial" w:hAnsi="Arial" w:cs="Arial"/>
                <w:sz w:val="22"/>
                <w:szCs w:val="22"/>
              </w:rPr>
              <w:t>1,866,120,069</w:t>
            </w:r>
          </w:p>
        </w:tc>
        <w:tc>
          <w:tcPr>
            <w:tcW w:w="1623" w:type="dxa"/>
            <w:tcBorders>
              <w:top w:val="nil"/>
              <w:left w:val="nil"/>
              <w:bottom w:val="single" w:sz="4" w:space="0" w:color="auto"/>
              <w:right w:val="nil"/>
            </w:tcBorders>
            <w:shd w:val="clear" w:color="auto" w:fill="auto"/>
            <w:vAlign w:val="center"/>
          </w:tcPr>
          <w:p w14:paraId="0123BB81" w14:textId="3BD6F6EE" w:rsidR="00131040" w:rsidRPr="00495094" w:rsidRDefault="00D230E1" w:rsidP="00131040">
            <w:pPr>
              <w:jc w:val="right"/>
              <w:rPr>
                <w:rFonts w:ascii="Arial" w:hAnsi="Arial" w:cs="Arial"/>
                <w:sz w:val="22"/>
                <w:szCs w:val="22"/>
              </w:rPr>
            </w:pPr>
            <w:r w:rsidRPr="00495094">
              <w:rPr>
                <w:rFonts w:ascii="Arial" w:hAnsi="Arial" w:cs="Arial"/>
                <w:sz w:val="22"/>
                <w:szCs w:val="22"/>
              </w:rPr>
              <w:t>2,158,501</w:t>
            </w:r>
          </w:p>
        </w:tc>
      </w:tr>
      <w:tr w:rsidR="00495094" w:rsidRPr="00495094" w14:paraId="338F6928" w14:textId="77777777" w:rsidTr="003E4921">
        <w:tc>
          <w:tcPr>
            <w:tcW w:w="5286" w:type="dxa"/>
            <w:tcBorders>
              <w:top w:val="nil"/>
              <w:left w:val="nil"/>
              <w:bottom w:val="double" w:sz="6" w:space="0" w:color="auto"/>
              <w:right w:val="nil"/>
            </w:tcBorders>
            <w:shd w:val="clear" w:color="auto" w:fill="auto"/>
            <w:vAlign w:val="center"/>
          </w:tcPr>
          <w:p w14:paraId="01FB36EE" w14:textId="77777777" w:rsidR="00131040" w:rsidRPr="00495094" w:rsidRDefault="00131040" w:rsidP="00131040">
            <w:pPr>
              <w:rPr>
                <w:rFonts w:ascii="Arial" w:hAnsi="Arial" w:cs="Arial"/>
                <w:bCs/>
                <w:sz w:val="22"/>
                <w:szCs w:val="22"/>
              </w:rPr>
            </w:pPr>
            <w:r w:rsidRPr="00495094">
              <w:rPr>
                <w:rFonts w:ascii="Arial" w:hAnsi="Arial" w:cs="Arial"/>
                <w:bCs/>
                <w:sz w:val="22"/>
                <w:szCs w:val="22"/>
              </w:rPr>
              <w:t> </w:t>
            </w:r>
          </w:p>
        </w:tc>
        <w:tc>
          <w:tcPr>
            <w:tcW w:w="1623" w:type="dxa"/>
            <w:tcBorders>
              <w:top w:val="nil"/>
              <w:left w:val="nil"/>
              <w:bottom w:val="double" w:sz="6" w:space="0" w:color="auto"/>
              <w:right w:val="nil"/>
            </w:tcBorders>
            <w:shd w:val="clear" w:color="auto" w:fill="auto"/>
            <w:vAlign w:val="center"/>
          </w:tcPr>
          <w:p w14:paraId="1D76F532" w14:textId="5FD44515" w:rsidR="00131040" w:rsidRPr="00495094" w:rsidRDefault="00D230E1" w:rsidP="00131040">
            <w:pPr>
              <w:jc w:val="right"/>
              <w:rPr>
                <w:rFonts w:ascii="Arial" w:hAnsi="Arial" w:cs="Arial"/>
                <w:bCs/>
                <w:sz w:val="22"/>
                <w:szCs w:val="22"/>
              </w:rPr>
            </w:pPr>
            <w:r w:rsidRPr="00495094">
              <w:rPr>
                <w:rFonts w:ascii="Arial" w:hAnsi="Arial" w:cs="Arial"/>
                <w:bCs/>
                <w:sz w:val="22"/>
                <w:szCs w:val="22"/>
              </w:rPr>
              <w:t>1,866,120,069</w:t>
            </w:r>
          </w:p>
        </w:tc>
        <w:tc>
          <w:tcPr>
            <w:tcW w:w="1623" w:type="dxa"/>
            <w:tcBorders>
              <w:top w:val="nil"/>
              <w:left w:val="nil"/>
              <w:bottom w:val="double" w:sz="6" w:space="0" w:color="auto"/>
              <w:right w:val="nil"/>
            </w:tcBorders>
            <w:shd w:val="clear" w:color="auto" w:fill="auto"/>
            <w:vAlign w:val="center"/>
          </w:tcPr>
          <w:p w14:paraId="77A9437F" w14:textId="26BDDBCD" w:rsidR="00131040" w:rsidRPr="00495094" w:rsidRDefault="00D230E1" w:rsidP="00131040">
            <w:pPr>
              <w:jc w:val="right"/>
              <w:rPr>
                <w:rFonts w:ascii="Arial" w:hAnsi="Arial" w:cs="Arial"/>
                <w:bCs/>
                <w:sz w:val="22"/>
                <w:szCs w:val="22"/>
              </w:rPr>
            </w:pPr>
            <w:r w:rsidRPr="00495094">
              <w:rPr>
                <w:rFonts w:ascii="Arial" w:hAnsi="Arial" w:cs="Arial"/>
                <w:bCs/>
                <w:sz w:val="22"/>
                <w:szCs w:val="22"/>
              </w:rPr>
              <w:t>2,158,501</w:t>
            </w:r>
          </w:p>
        </w:tc>
      </w:tr>
    </w:tbl>
    <w:p w14:paraId="3134B25B" w14:textId="77777777" w:rsidR="00040E6C" w:rsidRPr="00495094" w:rsidRDefault="006D37E3" w:rsidP="008D0E35">
      <w:pPr>
        <w:rPr>
          <w:rFonts w:ascii="Arial" w:hAnsi="Arial" w:cs="Arial"/>
          <w:sz w:val="22"/>
          <w:szCs w:val="22"/>
        </w:rPr>
      </w:pPr>
      <w:r w:rsidRPr="00495094">
        <w:rPr>
          <w:rFonts w:ascii="Arial" w:hAnsi="Arial" w:cs="Arial"/>
          <w:sz w:val="22"/>
          <w:szCs w:val="22"/>
        </w:rPr>
        <w:t xml:space="preserve">       </w:t>
      </w:r>
    </w:p>
    <w:p w14:paraId="5C247639" w14:textId="77777777" w:rsidR="00BD0BCD" w:rsidRPr="00495094" w:rsidRDefault="00BD0BCD" w:rsidP="003315ED">
      <w:pPr>
        <w:jc w:val="center"/>
        <w:rPr>
          <w:rFonts w:ascii="Arial" w:hAnsi="Arial" w:cs="Arial"/>
          <w:sz w:val="22"/>
          <w:szCs w:val="22"/>
        </w:rPr>
      </w:pPr>
    </w:p>
    <w:p w14:paraId="7617182C" w14:textId="77777777" w:rsidR="004F4B61" w:rsidRPr="00495094" w:rsidRDefault="004F4B61" w:rsidP="003315ED">
      <w:pPr>
        <w:jc w:val="center"/>
        <w:rPr>
          <w:rFonts w:ascii="Arial" w:hAnsi="Arial" w:cs="Arial"/>
          <w:sz w:val="22"/>
          <w:szCs w:val="22"/>
        </w:rPr>
      </w:pPr>
    </w:p>
    <w:p w14:paraId="6F074432" w14:textId="77777777" w:rsidR="004F4B61" w:rsidRPr="00495094" w:rsidRDefault="004F4B61" w:rsidP="003315ED">
      <w:pPr>
        <w:jc w:val="center"/>
        <w:rPr>
          <w:rFonts w:ascii="Arial" w:hAnsi="Arial" w:cs="Arial"/>
          <w:sz w:val="22"/>
          <w:szCs w:val="22"/>
        </w:rPr>
      </w:pPr>
    </w:p>
    <w:p w14:paraId="04D027E1" w14:textId="77777777" w:rsidR="004F4B61" w:rsidRPr="00495094" w:rsidRDefault="004F4B61" w:rsidP="003315ED">
      <w:pPr>
        <w:jc w:val="center"/>
        <w:rPr>
          <w:rFonts w:ascii="Arial" w:hAnsi="Arial" w:cs="Arial"/>
          <w:sz w:val="22"/>
          <w:szCs w:val="22"/>
        </w:rPr>
      </w:pPr>
    </w:p>
    <w:p w14:paraId="4096A400" w14:textId="77777777" w:rsidR="004F4B61" w:rsidRPr="00495094" w:rsidRDefault="004F4B61" w:rsidP="003315ED">
      <w:pPr>
        <w:jc w:val="center"/>
        <w:rPr>
          <w:rFonts w:ascii="Arial" w:hAnsi="Arial" w:cs="Arial"/>
          <w:sz w:val="22"/>
          <w:szCs w:val="22"/>
        </w:rPr>
      </w:pPr>
    </w:p>
    <w:p w14:paraId="4655ABD3" w14:textId="34818789" w:rsidR="006D37E3" w:rsidRPr="00495094" w:rsidRDefault="00B34369" w:rsidP="005003AB">
      <w:pPr>
        <w:pStyle w:val="Heading1"/>
        <w:numPr>
          <w:ilvl w:val="0"/>
          <w:numId w:val="12"/>
        </w:numPr>
        <w:ind w:left="720"/>
        <w:rPr>
          <w:rFonts w:ascii="Arial" w:hAnsi="Arial" w:cs="Arial"/>
          <w:b/>
          <w:bCs/>
          <w:sz w:val="22"/>
          <w:szCs w:val="22"/>
          <w:u w:val="none"/>
        </w:rPr>
      </w:pPr>
      <w:r w:rsidRPr="00495094">
        <w:rPr>
          <w:rFonts w:ascii="Arial" w:hAnsi="Arial" w:cs="Arial"/>
          <w:b/>
          <w:bCs/>
          <w:sz w:val="22"/>
          <w:szCs w:val="22"/>
          <w:u w:val="none"/>
        </w:rPr>
        <w:lastRenderedPageBreak/>
        <w:t>Property and Equipment</w:t>
      </w:r>
      <w:r w:rsidR="005003AB" w:rsidRPr="00495094">
        <w:rPr>
          <w:rFonts w:ascii="Arial" w:hAnsi="Arial" w:cs="Arial"/>
          <w:b/>
          <w:bCs/>
          <w:sz w:val="22"/>
          <w:szCs w:val="22"/>
          <w:u w:val="none"/>
        </w:rPr>
        <w:t xml:space="preserve"> - net</w:t>
      </w:r>
      <w:r w:rsidR="006D37E3" w:rsidRPr="00495094">
        <w:rPr>
          <w:rFonts w:ascii="Arial" w:hAnsi="Arial" w:cs="Arial"/>
          <w:sz w:val="22"/>
          <w:szCs w:val="22"/>
          <w:u w:val="none"/>
        </w:rPr>
        <w:t xml:space="preserve">            </w:t>
      </w:r>
    </w:p>
    <w:p w14:paraId="5C0D82DD" w14:textId="77777777" w:rsidR="003F2962" w:rsidRPr="00495094" w:rsidRDefault="003F2962" w:rsidP="008D0E35">
      <w:pPr>
        <w:pStyle w:val="Heading1"/>
        <w:ind w:left="0"/>
        <w:rPr>
          <w:rFonts w:ascii="Arial" w:hAnsi="Arial" w:cs="Arial"/>
          <w:sz w:val="22"/>
          <w:szCs w:val="22"/>
          <w:u w:val="none"/>
        </w:rPr>
      </w:pPr>
    </w:p>
    <w:p w14:paraId="5FAD9BE9" w14:textId="241FE1E4" w:rsidR="006D37E3" w:rsidRPr="00495094" w:rsidRDefault="006D37E3" w:rsidP="008D0E35">
      <w:pPr>
        <w:pStyle w:val="Heading1"/>
        <w:ind w:left="0"/>
        <w:rPr>
          <w:rFonts w:ascii="Arial" w:hAnsi="Arial" w:cs="Arial"/>
          <w:sz w:val="22"/>
          <w:szCs w:val="22"/>
          <w:u w:val="none"/>
        </w:rPr>
      </w:pPr>
      <w:r w:rsidRPr="00495094">
        <w:rPr>
          <w:rFonts w:ascii="Arial" w:hAnsi="Arial" w:cs="Arial"/>
          <w:sz w:val="22"/>
          <w:szCs w:val="22"/>
          <w:u w:val="none"/>
        </w:rPr>
        <w:t>This account consists of:</w:t>
      </w:r>
    </w:p>
    <w:p w14:paraId="76299FA6" w14:textId="77777777" w:rsidR="0083556A" w:rsidRPr="00495094" w:rsidRDefault="0083556A" w:rsidP="00CD3C8A">
      <w:pPr>
        <w:rPr>
          <w:rFonts w:ascii="Arial" w:hAnsi="Arial" w:cs="Arial"/>
        </w:rPr>
      </w:pPr>
    </w:p>
    <w:tbl>
      <w:tblPr>
        <w:tblW w:w="9118" w:type="dxa"/>
        <w:jc w:val="center"/>
        <w:tblLayout w:type="fixed"/>
        <w:tblLook w:val="04A0" w:firstRow="1" w:lastRow="0" w:firstColumn="1" w:lastColumn="0" w:noHBand="0" w:noVBand="1"/>
      </w:tblPr>
      <w:tblGrid>
        <w:gridCol w:w="1754"/>
        <w:gridCol w:w="1286"/>
        <w:gridCol w:w="1190"/>
        <w:gridCol w:w="1143"/>
        <w:gridCol w:w="1107"/>
        <w:gridCol w:w="1350"/>
        <w:gridCol w:w="1288"/>
      </w:tblGrid>
      <w:tr w:rsidR="00495094" w:rsidRPr="00495094" w14:paraId="687E7BCC" w14:textId="77777777" w:rsidTr="009375CB">
        <w:trPr>
          <w:trHeight w:val="213"/>
          <w:jc w:val="center"/>
        </w:trPr>
        <w:tc>
          <w:tcPr>
            <w:tcW w:w="1754" w:type="dxa"/>
            <w:tcBorders>
              <w:top w:val="single" w:sz="4" w:space="0" w:color="auto"/>
              <w:bottom w:val="single" w:sz="4" w:space="0" w:color="auto"/>
            </w:tcBorders>
            <w:shd w:val="clear" w:color="auto" w:fill="auto"/>
            <w:noWrap/>
            <w:vAlign w:val="center"/>
            <w:hideMark/>
          </w:tcPr>
          <w:p w14:paraId="1B0C9AC9" w14:textId="77777777" w:rsidR="009375CB" w:rsidRPr="00495094" w:rsidRDefault="009375CB" w:rsidP="009375CB">
            <w:pPr>
              <w:ind w:left="-98"/>
              <w:jc w:val="center"/>
              <w:rPr>
                <w:rFonts w:ascii="Arial" w:hAnsi="Arial" w:cs="Arial"/>
                <w:b/>
                <w:bCs/>
                <w:sz w:val="16"/>
                <w:szCs w:val="22"/>
              </w:rPr>
            </w:pPr>
          </w:p>
        </w:tc>
        <w:tc>
          <w:tcPr>
            <w:tcW w:w="1286" w:type="dxa"/>
            <w:tcBorders>
              <w:top w:val="single" w:sz="4" w:space="0" w:color="auto"/>
              <w:bottom w:val="single" w:sz="4" w:space="0" w:color="auto"/>
            </w:tcBorders>
            <w:shd w:val="clear" w:color="auto" w:fill="auto"/>
            <w:noWrap/>
            <w:vAlign w:val="center"/>
            <w:hideMark/>
          </w:tcPr>
          <w:p w14:paraId="4D9ADD5F" w14:textId="77777777" w:rsidR="009375CB" w:rsidRPr="00495094" w:rsidRDefault="009375CB" w:rsidP="009375CB">
            <w:pPr>
              <w:ind w:right="-97"/>
              <w:jc w:val="center"/>
              <w:rPr>
                <w:rFonts w:ascii="Arial" w:hAnsi="Arial" w:cs="Arial"/>
                <w:b/>
                <w:bCs/>
                <w:sz w:val="16"/>
                <w:szCs w:val="22"/>
              </w:rPr>
            </w:pPr>
            <w:r w:rsidRPr="00495094">
              <w:rPr>
                <w:rFonts w:ascii="Arial" w:hAnsi="Arial" w:cs="Arial"/>
                <w:b/>
                <w:bCs/>
                <w:sz w:val="16"/>
                <w:szCs w:val="22"/>
              </w:rPr>
              <w:t>Land</w:t>
            </w:r>
          </w:p>
        </w:tc>
        <w:tc>
          <w:tcPr>
            <w:tcW w:w="1190" w:type="dxa"/>
            <w:tcBorders>
              <w:top w:val="single" w:sz="4" w:space="0" w:color="auto"/>
              <w:bottom w:val="single" w:sz="4" w:space="0" w:color="auto"/>
            </w:tcBorders>
            <w:shd w:val="clear" w:color="auto" w:fill="auto"/>
            <w:noWrap/>
            <w:vAlign w:val="center"/>
            <w:hideMark/>
          </w:tcPr>
          <w:p w14:paraId="492B62DF" w14:textId="77777777" w:rsidR="009375CB" w:rsidRPr="00495094" w:rsidRDefault="009375CB" w:rsidP="009375CB">
            <w:pPr>
              <w:ind w:right="-92"/>
              <w:jc w:val="center"/>
              <w:rPr>
                <w:rFonts w:ascii="Arial" w:hAnsi="Arial" w:cs="Arial"/>
                <w:b/>
                <w:bCs/>
                <w:sz w:val="16"/>
                <w:szCs w:val="22"/>
              </w:rPr>
            </w:pPr>
            <w:r w:rsidRPr="00495094">
              <w:rPr>
                <w:rFonts w:ascii="Arial" w:hAnsi="Arial" w:cs="Arial"/>
                <w:b/>
                <w:bCs/>
                <w:sz w:val="16"/>
                <w:szCs w:val="22"/>
              </w:rPr>
              <w:t>Building</w:t>
            </w:r>
          </w:p>
        </w:tc>
        <w:tc>
          <w:tcPr>
            <w:tcW w:w="1143" w:type="dxa"/>
            <w:tcBorders>
              <w:top w:val="single" w:sz="4" w:space="0" w:color="auto"/>
              <w:bottom w:val="single" w:sz="4" w:space="0" w:color="auto"/>
            </w:tcBorders>
            <w:shd w:val="clear" w:color="auto" w:fill="auto"/>
            <w:noWrap/>
            <w:vAlign w:val="center"/>
            <w:hideMark/>
          </w:tcPr>
          <w:p w14:paraId="207CEB4B" w14:textId="77777777" w:rsidR="009375CB" w:rsidRPr="00495094" w:rsidRDefault="009375CB" w:rsidP="009375CB">
            <w:pPr>
              <w:jc w:val="center"/>
              <w:rPr>
                <w:rFonts w:ascii="Arial" w:hAnsi="Arial" w:cs="Arial"/>
                <w:b/>
                <w:bCs/>
                <w:sz w:val="16"/>
                <w:szCs w:val="22"/>
              </w:rPr>
            </w:pPr>
            <w:r w:rsidRPr="00495094">
              <w:rPr>
                <w:rFonts w:ascii="Arial" w:hAnsi="Arial" w:cs="Arial"/>
                <w:b/>
                <w:bCs/>
                <w:sz w:val="16"/>
                <w:szCs w:val="22"/>
              </w:rPr>
              <w:t>Furniture Fixture &amp; Equipment</w:t>
            </w:r>
          </w:p>
        </w:tc>
        <w:tc>
          <w:tcPr>
            <w:tcW w:w="1107" w:type="dxa"/>
            <w:tcBorders>
              <w:top w:val="single" w:sz="4" w:space="0" w:color="auto"/>
              <w:bottom w:val="single" w:sz="4" w:space="0" w:color="auto"/>
            </w:tcBorders>
            <w:shd w:val="clear" w:color="auto" w:fill="auto"/>
            <w:noWrap/>
            <w:vAlign w:val="center"/>
            <w:hideMark/>
          </w:tcPr>
          <w:p w14:paraId="735B4D65" w14:textId="77777777" w:rsidR="009375CB" w:rsidRPr="00495094" w:rsidRDefault="009375CB" w:rsidP="009375CB">
            <w:pPr>
              <w:jc w:val="center"/>
              <w:rPr>
                <w:rFonts w:ascii="Arial" w:hAnsi="Arial" w:cs="Arial"/>
                <w:b/>
                <w:bCs/>
                <w:sz w:val="16"/>
                <w:szCs w:val="22"/>
              </w:rPr>
            </w:pPr>
            <w:r w:rsidRPr="00495094">
              <w:rPr>
                <w:rFonts w:ascii="Arial" w:hAnsi="Arial" w:cs="Arial"/>
                <w:b/>
                <w:bCs/>
                <w:sz w:val="16"/>
                <w:szCs w:val="22"/>
              </w:rPr>
              <w:t>Motor Vehicles</w:t>
            </w:r>
          </w:p>
        </w:tc>
        <w:tc>
          <w:tcPr>
            <w:tcW w:w="1350" w:type="dxa"/>
            <w:tcBorders>
              <w:top w:val="single" w:sz="4" w:space="0" w:color="auto"/>
              <w:bottom w:val="single" w:sz="4" w:space="0" w:color="auto"/>
            </w:tcBorders>
            <w:shd w:val="clear" w:color="auto" w:fill="auto"/>
            <w:noWrap/>
            <w:vAlign w:val="center"/>
            <w:hideMark/>
          </w:tcPr>
          <w:p w14:paraId="10B521E4" w14:textId="77777777" w:rsidR="009375CB" w:rsidRPr="00495094" w:rsidRDefault="009375CB" w:rsidP="009375CB">
            <w:pPr>
              <w:jc w:val="center"/>
              <w:rPr>
                <w:rFonts w:ascii="Arial" w:hAnsi="Arial" w:cs="Arial"/>
                <w:b/>
                <w:bCs/>
                <w:sz w:val="16"/>
                <w:szCs w:val="22"/>
              </w:rPr>
            </w:pPr>
            <w:r w:rsidRPr="00495094">
              <w:rPr>
                <w:rFonts w:ascii="Arial" w:hAnsi="Arial" w:cs="Arial"/>
                <w:b/>
                <w:bCs/>
                <w:sz w:val="16"/>
                <w:szCs w:val="22"/>
              </w:rPr>
              <w:t>Computer and Peripherals</w:t>
            </w:r>
          </w:p>
        </w:tc>
        <w:tc>
          <w:tcPr>
            <w:tcW w:w="1288" w:type="dxa"/>
            <w:tcBorders>
              <w:top w:val="single" w:sz="4" w:space="0" w:color="auto"/>
              <w:bottom w:val="single" w:sz="4" w:space="0" w:color="auto"/>
            </w:tcBorders>
            <w:shd w:val="clear" w:color="auto" w:fill="auto"/>
            <w:noWrap/>
            <w:vAlign w:val="center"/>
            <w:hideMark/>
          </w:tcPr>
          <w:p w14:paraId="0FE1E798" w14:textId="77777777" w:rsidR="009375CB" w:rsidRPr="00495094" w:rsidRDefault="009375CB" w:rsidP="009375CB">
            <w:pPr>
              <w:ind w:left="-104" w:right="-108"/>
              <w:jc w:val="center"/>
              <w:rPr>
                <w:rFonts w:ascii="Arial" w:hAnsi="Arial" w:cs="Arial"/>
                <w:b/>
                <w:bCs/>
                <w:sz w:val="16"/>
                <w:szCs w:val="22"/>
              </w:rPr>
            </w:pPr>
            <w:r w:rsidRPr="00495094">
              <w:rPr>
                <w:rFonts w:ascii="Arial" w:hAnsi="Arial" w:cs="Arial"/>
                <w:b/>
                <w:bCs/>
                <w:sz w:val="16"/>
                <w:szCs w:val="22"/>
              </w:rPr>
              <w:t>Totals</w:t>
            </w:r>
          </w:p>
        </w:tc>
      </w:tr>
      <w:tr w:rsidR="00495094" w:rsidRPr="00495094" w14:paraId="58A64CD6" w14:textId="77777777" w:rsidTr="003315ED">
        <w:trPr>
          <w:trHeight w:val="324"/>
          <w:jc w:val="center"/>
        </w:trPr>
        <w:tc>
          <w:tcPr>
            <w:tcW w:w="1754" w:type="dxa"/>
            <w:tcBorders>
              <w:top w:val="single" w:sz="4" w:space="0" w:color="auto"/>
            </w:tcBorders>
            <w:shd w:val="clear" w:color="auto" w:fill="auto"/>
            <w:noWrap/>
            <w:vAlign w:val="bottom"/>
            <w:hideMark/>
          </w:tcPr>
          <w:p w14:paraId="5760292F" w14:textId="77777777" w:rsidR="00B20764" w:rsidRPr="00495094" w:rsidRDefault="00B20764" w:rsidP="00B20764">
            <w:pPr>
              <w:ind w:left="-98"/>
              <w:rPr>
                <w:rFonts w:ascii="Arial" w:hAnsi="Arial" w:cs="Arial"/>
                <w:bCs/>
                <w:sz w:val="16"/>
                <w:szCs w:val="22"/>
              </w:rPr>
            </w:pPr>
            <w:r w:rsidRPr="00495094">
              <w:rPr>
                <w:rFonts w:ascii="Arial" w:hAnsi="Arial" w:cs="Arial"/>
                <w:bCs/>
                <w:sz w:val="16"/>
                <w:szCs w:val="22"/>
              </w:rPr>
              <w:t>Cost</w:t>
            </w:r>
          </w:p>
          <w:p w14:paraId="1F18D561" w14:textId="04113B62" w:rsidR="00B20764" w:rsidRPr="00495094" w:rsidRDefault="00B20764" w:rsidP="00B20764">
            <w:pPr>
              <w:ind w:left="-98"/>
              <w:jc w:val="left"/>
              <w:rPr>
                <w:rFonts w:ascii="Arial" w:hAnsi="Arial" w:cs="Arial"/>
                <w:bCs/>
                <w:sz w:val="16"/>
                <w:szCs w:val="22"/>
              </w:rPr>
            </w:pPr>
            <w:r w:rsidRPr="00495094">
              <w:rPr>
                <w:rFonts w:ascii="Arial" w:hAnsi="Arial" w:cs="Arial"/>
                <w:bCs/>
                <w:sz w:val="16"/>
                <w:szCs w:val="22"/>
              </w:rPr>
              <w:t>January 1, 2022</w:t>
            </w:r>
          </w:p>
        </w:tc>
        <w:tc>
          <w:tcPr>
            <w:tcW w:w="1286" w:type="dxa"/>
            <w:tcBorders>
              <w:top w:val="single" w:sz="4" w:space="0" w:color="auto"/>
            </w:tcBorders>
            <w:shd w:val="clear" w:color="auto" w:fill="auto"/>
            <w:noWrap/>
            <w:vAlign w:val="bottom"/>
          </w:tcPr>
          <w:p w14:paraId="16BEB3E5" w14:textId="044AD31C" w:rsidR="00B20764" w:rsidRPr="00495094" w:rsidRDefault="00B20764" w:rsidP="003315ED">
            <w:pPr>
              <w:jc w:val="right"/>
              <w:rPr>
                <w:rFonts w:ascii="Arial" w:hAnsi="Arial" w:cs="Arial"/>
                <w:sz w:val="16"/>
                <w:szCs w:val="22"/>
                <w:lang w:val="en-PH" w:eastAsia="en-PH"/>
              </w:rPr>
            </w:pPr>
            <w:r w:rsidRPr="00495094">
              <w:rPr>
                <w:rFonts w:ascii="Arial" w:hAnsi="Arial" w:cs="Arial"/>
                <w:sz w:val="16"/>
                <w:szCs w:val="16"/>
              </w:rPr>
              <w:t xml:space="preserve">          131,008,000 </w:t>
            </w:r>
          </w:p>
        </w:tc>
        <w:tc>
          <w:tcPr>
            <w:tcW w:w="1190" w:type="dxa"/>
            <w:tcBorders>
              <w:top w:val="single" w:sz="4" w:space="0" w:color="auto"/>
            </w:tcBorders>
            <w:shd w:val="clear" w:color="auto" w:fill="auto"/>
            <w:noWrap/>
            <w:vAlign w:val="bottom"/>
          </w:tcPr>
          <w:p w14:paraId="2D0820E0" w14:textId="65C189F1"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             48,199,84</w:t>
            </w:r>
            <w:r w:rsidR="00855B7E" w:rsidRPr="00495094">
              <w:rPr>
                <w:rFonts w:ascii="Arial" w:hAnsi="Arial" w:cs="Arial"/>
                <w:sz w:val="16"/>
                <w:szCs w:val="16"/>
                <w:lang w:eastAsia="en-PH"/>
              </w:rPr>
              <w:t>1</w:t>
            </w:r>
            <w:r w:rsidRPr="00495094">
              <w:rPr>
                <w:rFonts w:ascii="Arial" w:hAnsi="Arial" w:cs="Arial"/>
                <w:sz w:val="16"/>
                <w:szCs w:val="16"/>
                <w:lang w:eastAsia="en-PH"/>
              </w:rPr>
              <w:t xml:space="preserve"> </w:t>
            </w:r>
          </w:p>
        </w:tc>
        <w:tc>
          <w:tcPr>
            <w:tcW w:w="1143" w:type="dxa"/>
            <w:tcBorders>
              <w:top w:val="single" w:sz="4" w:space="0" w:color="auto"/>
            </w:tcBorders>
            <w:shd w:val="clear" w:color="auto" w:fill="auto"/>
            <w:noWrap/>
            <w:vAlign w:val="bottom"/>
          </w:tcPr>
          <w:p w14:paraId="2BE1EC32" w14:textId="3F1EF4B3"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          7,892,35</w:t>
            </w:r>
            <w:r w:rsidR="00855B7E" w:rsidRPr="00495094">
              <w:rPr>
                <w:rFonts w:ascii="Arial" w:hAnsi="Arial" w:cs="Arial"/>
                <w:sz w:val="16"/>
                <w:szCs w:val="16"/>
                <w:lang w:eastAsia="en-PH"/>
              </w:rPr>
              <w:t>9</w:t>
            </w:r>
            <w:r w:rsidRPr="00495094">
              <w:rPr>
                <w:rFonts w:ascii="Arial" w:hAnsi="Arial" w:cs="Arial"/>
                <w:sz w:val="16"/>
                <w:szCs w:val="16"/>
                <w:lang w:eastAsia="en-PH"/>
              </w:rPr>
              <w:t xml:space="preserve"> </w:t>
            </w:r>
          </w:p>
        </w:tc>
        <w:tc>
          <w:tcPr>
            <w:tcW w:w="1107" w:type="dxa"/>
            <w:tcBorders>
              <w:top w:val="single" w:sz="4" w:space="0" w:color="auto"/>
            </w:tcBorders>
            <w:shd w:val="clear" w:color="auto" w:fill="auto"/>
            <w:noWrap/>
            <w:vAlign w:val="bottom"/>
          </w:tcPr>
          <w:p w14:paraId="152F0432" w14:textId="1C0A7459" w:rsidR="00B20764" w:rsidRPr="00495094" w:rsidRDefault="00B20764" w:rsidP="001456F9">
            <w:pPr>
              <w:jc w:val="right"/>
              <w:rPr>
                <w:rFonts w:ascii="Arial" w:hAnsi="Arial" w:cs="Arial"/>
                <w:sz w:val="16"/>
                <w:szCs w:val="22"/>
              </w:rPr>
            </w:pPr>
            <w:r w:rsidRPr="00495094">
              <w:rPr>
                <w:rFonts w:ascii="Arial" w:hAnsi="Arial" w:cs="Arial"/>
                <w:sz w:val="16"/>
                <w:szCs w:val="16"/>
                <w:lang w:eastAsia="en-PH"/>
              </w:rPr>
              <w:t xml:space="preserve">          6,152,19</w:t>
            </w:r>
            <w:r w:rsidR="00855B7E" w:rsidRPr="00495094">
              <w:rPr>
                <w:rFonts w:ascii="Arial" w:hAnsi="Arial" w:cs="Arial"/>
                <w:sz w:val="16"/>
                <w:szCs w:val="16"/>
                <w:lang w:eastAsia="en-PH"/>
              </w:rPr>
              <w:t>8</w:t>
            </w:r>
          </w:p>
        </w:tc>
        <w:tc>
          <w:tcPr>
            <w:tcW w:w="1350" w:type="dxa"/>
            <w:tcBorders>
              <w:top w:val="single" w:sz="4" w:space="0" w:color="auto"/>
            </w:tcBorders>
            <w:shd w:val="clear" w:color="auto" w:fill="auto"/>
            <w:noWrap/>
            <w:vAlign w:val="bottom"/>
          </w:tcPr>
          <w:p w14:paraId="47C0B753" w14:textId="1F64C337"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         97,487,591 </w:t>
            </w:r>
          </w:p>
        </w:tc>
        <w:tc>
          <w:tcPr>
            <w:tcW w:w="1288" w:type="dxa"/>
            <w:tcBorders>
              <w:top w:val="single" w:sz="4" w:space="0" w:color="auto"/>
            </w:tcBorders>
            <w:shd w:val="clear" w:color="auto" w:fill="auto"/>
            <w:noWrap/>
            <w:vAlign w:val="bottom"/>
          </w:tcPr>
          <w:p w14:paraId="4745B7BB" w14:textId="19152CC5"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       290,739,98</w:t>
            </w:r>
            <w:r w:rsidR="00855B7E" w:rsidRPr="00495094">
              <w:rPr>
                <w:rFonts w:ascii="Arial" w:hAnsi="Arial" w:cs="Arial"/>
                <w:sz w:val="16"/>
                <w:szCs w:val="16"/>
                <w:lang w:eastAsia="en-PH"/>
              </w:rPr>
              <w:t>9</w:t>
            </w:r>
            <w:r w:rsidRPr="00495094">
              <w:rPr>
                <w:rFonts w:ascii="Arial" w:hAnsi="Arial" w:cs="Arial"/>
                <w:sz w:val="16"/>
                <w:szCs w:val="16"/>
                <w:lang w:eastAsia="en-PH"/>
              </w:rPr>
              <w:t xml:space="preserve"> </w:t>
            </w:r>
          </w:p>
        </w:tc>
      </w:tr>
      <w:tr w:rsidR="00495094" w:rsidRPr="00495094" w14:paraId="28FE3776" w14:textId="77777777" w:rsidTr="004F4B61">
        <w:trPr>
          <w:trHeight w:val="180"/>
          <w:jc w:val="center"/>
        </w:trPr>
        <w:tc>
          <w:tcPr>
            <w:tcW w:w="1754" w:type="dxa"/>
            <w:shd w:val="clear" w:color="auto" w:fill="auto"/>
            <w:noWrap/>
            <w:vAlign w:val="bottom"/>
            <w:hideMark/>
          </w:tcPr>
          <w:p w14:paraId="7EDE87A7" w14:textId="77777777" w:rsidR="00B531FA" w:rsidRPr="00495094" w:rsidRDefault="00B531FA" w:rsidP="00B531FA">
            <w:pPr>
              <w:jc w:val="left"/>
              <w:rPr>
                <w:rFonts w:ascii="Arial" w:hAnsi="Arial" w:cs="Arial"/>
                <w:sz w:val="16"/>
                <w:szCs w:val="22"/>
                <w:lang w:val="en-PH" w:eastAsia="en-PH"/>
              </w:rPr>
            </w:pPr>
            <w:r w:rsidRPr="00495094">
              <w:rPr>
                <w:rFonts w:ascii="Arial" w:hAnsi="Arial" w:cs="Arial"/>
                <w:sz w:val="16"/>
                <w:szCs w:val="22"/>
              </w:rPr>
              <w:t>Additions</w:t>
            </w:r>
          </w:p>
        </w:tc>
        <w:tc>
          <w:tcPr>
            <w:tcW w:w="1286" w:type="dxa"/>
            <w:shd w:val="clear" w:color="auto" w:fill="auto"/>
            <w:noWrap/>
            <w:vAlign w:val="bottom"/>
          </w:tcPr>
          <w:p w14:paraId="3A0710AC" w14:textId="15D8D94E" w:rsidR="00B531FA" w:rsidRPr="00495094" w:rsidRDefault="00B531FA" w:rsidP="003315ED">
            <w:pPr>
              <w:jc w:val="right"/>
              <w:rPr>
                <w:rFonts w:ascii="Arial" w:hAnsi="Arial" w:cs="Arial"/>
                <w:sz w:val="16"/>
                <w:szCs w:val="22"/>
                <w:lang w:val="en-PH" w:eastAsia="en-PH"/>
              </w:rPr>
            </w:pPr>
            <w:r w:rsidRPr="00495094">
              <w:rPr>
                <w:rFonts w:ascii="Arial" w:hAnsi="Arial" w:cs="Arial"/>
                <w:sz w:val="16"/>
                <w:szCs w:val="16"/>
              </w:rPr>
              <w:t xml:space="preserve">0  </w:t>
            </w:r>
          </w:p>
        </w:tc>
        <w:tc>
          <w:tcPr>
            <w:tcW w:w="1190" w:type="dxa"/>
            <w:shd w:val="clear" w:color="auto" w:fill="auto"/>
            <w:noWrap/>
            <w:vAlign w:val="bottom"/>
          </w:tcPr>
          <w:p w14:paraId="3C176BD4" w14:textId="3B154806"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0   </w:t>
            </w:r>
          </w:p>
        </w:tc>
        <w:tc>
          <w:tcPr>
            <w:tcW w:w="1143" w:type="dxa"/>
            <w:shd w:val="clear" w:color="auto" w:fill="auto"/>
            <w:noWrap/>
            <w:vAlign w:val="bottom"/>
          </w:tcPr>
          <w:p w14:paraId="69907995" w14:textId="550AD913" w:rsidR="00B531FA" w:rsidRPr="00495094" w:rsidRDefault="001456F9" w:rsidP="003315ED">
            <w:pPr>
              <w:jc w:val="right"/>
              <w:rPr>
                <w:rFonts w:ascii="Arial" w:hAnsi="Arial" w:cs="Arial"/>
                <w:sz w:val="16"/>
                <w:szCs w:val="22"/>
              </w:rPr>
            </w:pPr>
            <w:r w:rsidRPr="00495094">
              <w:rPr>
                <w:rFonts w:ascii="Arial" w:hAnsi="Arial" w:cs="Arial"/>
                <w:sz w:val="16"/>
                <w:szCs w:val="22"/>
              </w:rPr>
              <w:t>0</w:t>
            </w:r>
          </w:p>
        </w:tc>
        <w:tc>
          <w:tcPr>
            <w:tcW w:w="1107" w:type="dxa"/>
            <w:shd w:val="clear" w:color="auto" w:fill="auto"/>
            <w:noWrap/>
            <w:vAlign w:val="bottom"/>
          </w:tcPr>
          <w:p w14:paraId="6695339A" w14:textId="6AED39D2" w:rsidR="00B531FA" w:rsidRPr="00495094" w:rsidRDefault="001456F9" w:rsidP="003315ED">
            <w:pPr>
              <w:jc w:val="right"/>
              <w:rPr>
                <w:rFonts w:ascii="Arial" w:hAnsi="Arial" w:cs="Arial"/>
                <w:sz w:val="16"/>
                <w:szCs w:val="22"/>
              </w:rPr>
            </w:pPr>
            <w:r w:rsidRPr="00495094">
              <w:rPr>
                <w:rFonts w:ascii="Arial" w:hAnsi="Arial" w:cs="Arial"/>
                <w:sz w:val="16"/>
                <w:szCs w:val="22"/>
              </w:rPr>
              <w:t>0</w:t>
            </w:r>
          </w:p>
        </w:tc>
        <w:tc>
          <w:tcPr>
            <w:tcW w:w="1350" w:type="dxa"/>
            <w:shd w:val="clear" w:color="auto" w:fill="auto"/>
            <w:noWrap/>
            <w:vAlign w:val="bottom"/>
          </w:tcPr>
          <w:p w14:paraId="04E9790F" w14:textId="42ED70D3"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            693,939 </w:t>
            </w:r>
          </w:p>
        </w:tc>
        <w:tc>
          <w:tcPr>
            <w:tcW w:w="1288" w:type="dxa"/>
            <w:shd w:val="clear" w:color="auto" w:fill="auto"/>
            <w:noWrap/>
            <w:vAlign w:val="bottom"/>
          </w:tcPr>
          <w:p w14:paraId="0BD5ED53" w14:textId="2A0E286B"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          693,939 </w:t>
            </w:r>
          </w:p>
        </w:tc>
      </w:tr>
      <w:tr w:rsidR="00495094" w:rsidRPr="00495094" w14:paraId="35365BFD" w14:textId="77777777" w:rsidTr="003315ED">
        <w:trPr>
          <w:trHeight w:val="55"/>
          <w:jc w:val="center"/>
        </w:trPr>
        <w:tc>
          <w:tcPr>
            <w:tcW w:w="1754" w:type="dxa"/>
            <w:shd w:val="clear" w:color="auto" w:fill="auto"/>
            <w:noWrap/>
            <w:vAlign w:val="bottom"/>
          </w:tcPr>
          <w:p w14:paraId="7348CFAD" w14:textId="442B5C7E" w:rsidR="00B20764" w:rsidRPr="00495094" w:rsidRDefault="00B20764" w:rsidP="00B20764">
            <w:pPr>
              <w:jc w:val="left"/>
              <w:rPr>
                <w:rFonts w:ascii="Arial" w:hAnsi="Arial" w:cs="Arial"/>
                <w:sz w:val="16"/>
                <w:szCs w:val="22"/>
              </w:rPr>
            </w:pPr>
            <w:r w:rsidRPr="00495094">
              <w:rPr>
                <w:rFonts w:ascii="Arial" w:hAnsi="Arial" w:cs="Arial"/>
                <w:sz w:val="16"/>
                <w:szCs w:val="22"/>
              </w:rPr>
              <w:t>Reclassifications</w:t>
            </w:r>
          </w:p>
        </w:tc>
        <w:tc>
          <w:tcPr>
            <w:tcW w:w="1286" w:type="dxa"/>
            <w:shd w:val="clear" w:color="auto" w:fill="auto"/>
            <w:noWrap/>
            <w:vAlign w:val="bottom"/>
          </w:tcPr>
          <w:p w14:paraId="4B541051" w14:textId="7C315B92"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0  </w:t>
            </w:r>
          </w:p>
        </w:tc>
        <w:tc>
          <w:tcPr>
            <w:tcW w:w="1190" w:type="dxa"/>
            <w:shd w:val="clear" w:color="auto" w:fill="auto"/>
            <w:noWrap/>
            <w:vAlign w:val="bottom"/>
          </w:tcPr>
          <w:p w14:paraId="7302BFA0" w14:textId="0C92F3EB"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0   </w:t>
            </w:r>
          </w:p>
        </w:tc>
        <w:tc>
          <w:tcPr>
            <w:tcW w:w="1143" w:type="dxa"/>
            <w:shd w:val="clear" w:color="auto" w:fill="auto"/>
            <w:noWrap/>
            <w:vAlign w:val="bottom"/>
          </w:tcPr>
          <w:p w14:paraId="4B7E52E9" w14:textId="1A989733" w:rsidR="00B20764" w:rsidRPr="00495094" w:rsidRDefault="001456F9" w:rsidP="003315ED">
            <w:pPr>
              <w:jc w:val="right"/>
              <w:rPr>
                <w:rFonts w:ascii="Arial" w:hAnsi="Arial" w:cs="Arial"/>
                <w:sz w:val="16"/>
                <w:szCs w:val="22"/>
              </w:rPr>
            </w:pPr>
            <w:r w:rsidRPr="00495094">
              <w:rPr>
                <w:rFonts w:ascii="Arial" w:hAnsi="Arial" w:cs="Arial"/>
                <w:sz w:val="16"/>
                <w:szCs w:val="16"/>
                <w:lang w:eastAsia="en-PH"/>
              </w:rPr>
              <w:t>0</w:t>
            </w:r>
            <w:r w:rsidR="00B20764" w:rsidRPr="00495094">
              <w:rPr>
                <w:rFonts w:ascii="Arial" w:hAnsi="Arial" w:cs="Arial"/>
                <w:sz w:val="16"/>
                <w:szCs w:val="16"/>
                <w:lang w:eastAsia="en-PH"/>
              </w:rPr>
              <w:t xml:space="preserve">   </w:t>
            </w:r>
          </w:p>
        </w:tc>
        <w:tc>
          <w:tcPr>
            <w:tcW w:w="1107" w:type="dxa"/>
            <w:shd w:val="clear" w:color="auto" w:fill="auto"/>
            <w:noWrap/>
            <w:vAlign w:val="bottom"/>
          </w:tcPr>
          <w:p w14:paraId="483FA32A" w14:textId="6D71B6E5" w:rsidR="00B20764" w:rsidRPr="00495094" w:rsidRDefault="009541A9"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2,000 </w:t>
            </w:r>
          </w:p>
        </w:tc>
        <w:tc>
          <w:tcPr>
            <w:tcW w:w="1350" w:type="dxa"/>
            <w:shd w:val="clear" w:color="auto" w:fill="auto"/>
            <w:noWrap/>
            <w:vAlign w:val="bottom"/>
          </w:tcPr>
          <w:p w14:paraId="4C635906" w14:textId="3E825C23" w:rsidR="00B20764" w:rsidRPr="00495094" w:rsidRDefault="009541A9"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5 </w:t>
            </w:r>
          </w:p>
        </w:tc>
        <w:tc>
          <w:tcPr>
            <w:tcW w:w="1288" w:type="dxa"/>
            <w:shd w:val="clear" w:color="auto" w:fill="auto"/>
            <w:noWrap/>
            <w:vAlign w:val="bottom"/>
          </w:tcPr>
          <w:p w14:paraId="1A5B220F" w14:textId="4029C54B" w:rsidR="00B20764" w:rsidRPr="00495094" w:rsidRDefault="009541A9"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2,005 </w:t>
            </w:r>
          </w:p>
        </w:tc>
      </w:tr>
      <w:tr w:rsidR="00495094" w:rsidRPr="00495094" w14:paraId="389B6F50" w14:textId="77777777" w:rsidTr="003315ED">
        <w:trPr>
          <w:trHeight w:val="55"/>
          <w:jc w:val="center"/>
        </w:trPr>
        <w:tc>
          <w:tcPr>
            <w:tcW w:w="1754" w:type="dxa"/>
            <w:shd w:val="clear" w:color="auto" w:fill="auto"/>
            <w:noWrap/>
            <w:vAlign w:val="bottom"/>
          </w:tcPr>
          <w:p w14:paraId="36E3587A" w14:textId="39C2E10B" w:rsidR="00B531FA" w:rsidRPr="00495094" w:rsidRDefault="00B531FA" w:rsidP="00B531FA">
            <w:pPr>
              <w:jc w:val="left"/>
              <w:rPr>
                <w:rFonts w:ascii="Arial" w:hAnsi="Arial" w:cs="Arial"/>
                <w:sz w:val="16"/>
                <w:szCs w:val="22"/>
              </w:rPr>
            </w:pPr>
            <w:r w:rsidRPr="00495094">
              <w:rPr>
                <w:rFonts w:ascii="Arial" w:hAnsi="Arial" w:cs="Arial"/>
                <w:sz w:val="16"/>
                <w:szCs w:val="22"/>
              </w:rPr>
              <w:t>Disposal</w:t>
            </w:r>
          </w:p>
        </w:tc>
        <w:tc>
          <w:tcPr>
            <w:tcW w:w="1286" w:type="dxa"/>
            <w:shd w:val="clear" w:color="auto" w:fill="auto"/>
            <w:noWrap/>
            <w:vAlign w:val="bottom"/>
          </w:tcPr>
          <w:p w14:paraId="4AC619C9" w14:textId="1D82973B"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0   </w:t>
            </w:r>
          </w:p>
        </w:tc>
        <w:tc>
          <w:tcPr>
            <w:tcW w:w="1190" w:type="dxa"/>
            <w:shd w:val="clear" w:color="auto" w:fill="auto"/>
            <w:noWrap/>
            <w:vAlign w:val="bottom"/>
          </w:tcPr>
          <w:p w14:paraId="2CD80937" w14:textId="35F062C3"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0   </w:t>
            </w:r>
          </w:p>
        </w:tc>
        <w:tc>
          <w:tcPr>
            <w:tcW w:w="1143" w:type="dxa"/>
            <w:shd w:val="clear" w:color="auto" w:fill="auto"/>
            <w:noWrap/>
            <w:vAlign w:val="bottom"/>
          </w:tcPr>
          <w:p w14:paraId="76E64A9C" w14:textId="6209B2BF"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     (130,500)</w:t>
            </w:r>
          </w:p>
        </w:tc>
        <w:tc>
          <w:tcPr>
            <w:tcW w:w="1107" w:type="dxa"/>
            <w:shd w:val="clear" w:color="auto" w:fill="auto"/>
            <w:noWrap/>
            <w:vAlign w:val="bottom"/>
          </w:tcPr>
          <w:p w14:paraId="7BC93562" w14:textId="291B3669" w:rsidR="00B531FA" w:rsidRPr="00495094" w:rsidRDefault="009541A9" w:rsidP="003315ED">
            <w:pPr>
              <w:jc w:val="right"/>
              <w:rPr>
                <w:rFonts w:ascii="Arial" w:hAnsi="Arial" w:cs="Arial"/>
                <w:sz w:val="16"/>
                <w:szCs w:val="22"/>
              </w:rPr>
            </w:pPr>
            <w:r w:rsidRPr="00495094">
              <w:rPr>
                <w:rFonts w:ascii="Arial" w:hAnsi="Arial" w:cs="Arial"/>
                <w:sz w:val="16"/>
                <w:szCs w:val="16"/>
              </w:rPr>
              <w:t xml:space="preserve">  </w:t>
            </w:r>
            <w:r w:rsidR="00B531FA" w:rsidRPr="00495094">
              <w:rPr>
                <w:rFonts w:ascii="Arial" w:hAnsi="Arial" w:cs="Arial"/>
                <w:sz w:val="16"/>
                <w:szCs w:val="16"/>
              </w:rPr>
              <w:t>(1,855,400)</w:t>
            </w:r>
          </w:p>
        </w:tc>
        <w:tc>
          <w:tcPr>
            <w:tcW w:w="1350" w:type="dxa"/>
            <w:shd w:val="clear" w:color="auto" w:fill="auto"/>
            <w:noWrap/>
            <w:vAlign w:val="bottom"/>
          </w:tcPr>
          <w:p w14:paraId="7111F466" w14:textId="140318A3"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       (6,445,576)</w:t>
            </w:r>
          </w:p>
        </w:tc>
        <w:tc>
          <w:tcPr>
            <w:tcW w:w="1288" w:type="dxa"/>
            <w:shd w:val="clear" w:color="auto" w:fill="auto"/>
            <w:noWrap/>
            <w:vAlign w:val="bottom"/>
          </w:tcPr>
          <w:p w14:paraId="58D9DA60" w14:textId="55D4EB6C" w:rsidR="00B531FA" w:rsidRPr="00495094" w:rsidRDefault="00B531FA" w:rsidP="003315ED">
            <w:pPr>
              <w:jc w:val="right"/>
              <w:rPr>
                <w:rFonts w:ascii="Arial" w:hAnsi="Arial" w:cs="Arial"/>
                <w:sz w:val="16"/>
                <w:szCs w:val="22"/>
              </w:rPr>
            </w:pPr>
            <w:r w:rsidRPr="00495094">
              <w:rPr>
                <w:rFonts w:ascii="Arial" w:hAnsi="Arial" w:cs="Arial"/>
                <w:sz w:val="16"/>
                <w:szCs w:val="16"/>
              </w:rPr>
              <w:t xml:space="preserve">    </w:t>
            </w:r>
            <w:r w:rsidR="009373AA" w:rsidRPr="00495094">
              <w:rPr>
                <w:rFonts w:ascii="Arial" w:hAnsi="Arial" w:cs="Arial"/>
                <w:sz w:val="16"/>
                <w:szCs w:val="16"/>
              </w:rPr>
              <w:t xml:space="preserve"> </w:t>
            </w:r>
            <w:r w:rsidRPr="00495094">
              <w:rPr>
                <w:rFonts w:ascii="Arial" w:hAnsi="Arial" w:cs="Arial"/>
                <w:sz w:val="16"/>
                <w:szCs w:val="16"/>
              </w:rPr>
              <w:t>(8,431,476)</w:t>
            </w:r>
          </w:p>
        </w:tc>
      </w:tr>
      <w:tr w:rsidR="00495094" w:rsidRPr="00495094" w14:paraId="3B05CDA1" w14:textId="77777777" w:rsidTr="003315ED">
        <w:trPr>
          <w:trHeight w:val="130"/>
          <w:jc w:val="center"/>
        </w:trPr>
        <w:tc>
          <w:tcPr>
            <w:tcW w:w="1754" w:type="dxa"/>
            <w:tcBorders>
              <w:top w:val="single" w:sz="4" w:space="0" w:color="auto"/>
            </w:tcBorders>
            <w:shd w:val="clear" w:color="auto" w:fill="auto"/>
            <w:noWrap/>
            <w:vAlign w:val="bottom"/>
            <w:hideMark/>
          </w:tcPr>
          <w:p w14:paraId="3BA26716" w14:textId="450954A8" w:rsidR="00B20764" w:rsidRPr="00495094" w:rsidRDefault="00B20764" w:rsidP="003315ED">
            <w:pPr>
              <w:pStyle w:val="Heading8"/>
            </w:pPr>
            <w:r w:rsidRPr="00495094">
              <w:t>December 31, 2022</w:t>
            </w:r>
          </w:p>
        </w:tc>
        <w:tc>
          <w:tcPr>
            <w:tcW w:w="1286" w:type="dxa"/>
            <w:tcBorders>
              <w:top w:val="single" w:sz="4" w:space="0" w:color="auto"/>
            </w:tcBorders>
            <w:shd w:val="clear" w:color="auto" w:fill="auto"/>
            <w:noWrap/>
            <w:vAlign w:val="bottom"/>
          </w:tcPr>
          <w:p w14:paraId="605979D4" w14:textId="64586FA4"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131,008,000 </w:t>
            </w:r>
          </w:p>
        </w:tc>
        <w:tc>
          <w:tcPr>
            <w:tcW w:w="1190" w:type="dxa"/>
            <w:tcBorders>
              <w:top w:val="single" w:sz="4" w:space="0" w:color="auto"/>
            </w:tcBorders>
            <w:shd w:val="clear" w:color="auto" w:fill="auto"/>
            <w:noWrap/>
            <w:vAlign w:val="bottom"/>
          </w:tcPr>
          <w:p w14:paraId="63A394C0" w14:textId="1638A766"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48,199,84</w:t>
            </w:r>
            <w:r w:rsidR="00855B7E" w:rsidRPr="00495094">
              <w:rPr>
                <w:rFonts w:ascii="Arial" w:hAnsi="Arial" w:cs="Arial"/>
                <w:sz w:val="16"/>
                <w:szCs w:val="16"/>
                <w:lang w:eastAsia="en-PH"/>
              </w:rPr>
              <w:t>1</w:t>
            </w:r>
            <w:r w:rsidRPr="00495094">
              <w:rPr>
                <w:rFonts w:ascii="Arial" w:hAnsi="Arial" w:cs="Arial"/>
                <w:sz w:val="16"/>
                <w:szCs w:val="16"/>
                <w:lang w:eastAsia="en-PH"/>
              </w:rPr>
              <w:t xml:space="preserve"> </w:t>
            </w:r>
          </w:p>
        </w:tc>
        <w:tc>
          <w:tcPr>
            <w:tcW w:w="1143" w:type="dxa"/>
            <w:tcBorders>
              <w:top w:val="single" w:sz="4" w:space="0" w:color="auto"/>
            </w:tcBorders>
            <w:shd w:val="clear" w:color="auto" w:fill="auto"/>
            <w:noWrap/>
            <w:vAlign w:val="bottom"/>
          </w:tcPr>
          <w:p w14:paraId="158E88AE" w14:textId="62ECC4E6"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7,761,85</w:t>
            </w:r>
            <w:r w:rsidR="00855B7E" w:rsidRPr="00495094">
              <w:rPr>
                <w:rFonts w:ascii="Arial" w:hAnsi="Arial" w:cs="Arial"/>
                <w:sz w:val="16"/>
                <w:szCs w:val="16"/>
                <w:lang w:eastAsia="en-PH"/>
              </w:rPr>
              <w:t>9</w:t>
            </w:r>
          </w:p>
        </w:tc>
        <w:tc>
          <w:tcPr>
            <w:tcW w:w="1107" w:type="dxa"/>
            <w:tcBorders>
              <w:top w:val="single" w:sz="4" w:space="0" w:color="auto"/>
            </w:tcBorders>
            <w:shd w:val="clear" w:color="auto" w:fill="auto"/>
            <w:noWrap/>
            <w:vAlign w:val="bottom"/>
          </w:tcPr>
          <w:p w14:paraId="181E4984" w14:textId="35C4072D"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4,298,79</w:t>
            </w:r>
            <w:r w:rsidR="008818F7" w:rsidRPr="00495094">
              <w:rPr>
                <w:rFonts w:ascii="Arial" w:hAnsi="Arial" w:cs="Arial"/>
                <w:sz w:val="16"/>
                <w:szCs w:val="16"/>
                <w:lang w:eastAsia="en-PH"/>
              </w:rPr>
              <w:t>8</w:t>
            </w:r>
            <w:r w:rsidRPr="00495094">
              <w:rPr>
                <w:rFonts w:ascii="Arial" w:hAnsi="Arial" w:cs="Arial"/>
                <w:sz w:val="16"/>
                <w:szCs w:val="16"/>
                <w:lang w:eastAsia="en-PH"/>
              </w:rPr>
              <w:t xml:space="preserve"> </w:t>
            </w:r>
          </w:p>
        </w:tc>
        <w:tc>
          <w:tcPr>
            <w:tcW w:w="1350" w:type="dxa"/>
            <w:tcBorders>
              <w:top w:val="single" w:sz="4" w:space="0" w:color="auto"/>
            </w:tcBorders>
            <w:shd w:val="clear" w:color="auto" w:fill="auto"/>
            <w:noWrap/>
            <w:vAlign w:val="bottom"/>
          </w:tcPr>
          <w:p w14:paraId="5CF6F94F" w14:textId="124A1D67"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91,735,959 </w:t>
            </w:r>
          </w:p>
        </w:tc>
        <w:tc>
          <w:tcPr>
            <w:tcW w:w="1288" w:type="dxa"/>
            <w:tcBorders>
              <w:top w:val="single" w:sz="4" w:space="0" w:color="auto"/>
            </w:tcBorders>
            <w:shd w:val="clear" w:color="auto" w:fill="auto"/>
            <w:noWrap/>
            <w:vAlign w:val="bottom"/>
          </w:tcPr>
          <w:p w14:paraId="09C739EC" w14:textId="3BF15684"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283,004,45</w:t>
            </w:r>
            <w:r w:rsidR="008818F7" w:rsidRPr="00495094">
              <w:rPr>
                <w:rFonts w:ascii="Arial" w:hAnsi="Arial" w:cs="Arial"/>
                <w:sz w:val="16"/>
                <w:szCs w:val="16"/>
                <w:lang w:eastAsia="en-PH"/>
              </w:rPr>
              <w:t>7</w:t>
            </w:r>
            <w:r w:rsidRPr="00495094">
              <w:rPr>
                <w:rFonts w:ascii="Arial" w:hAnsi="Arial" w:cs="Arial"/>
                <w:sz w:val="16"/>
                <w:szCs w:val="16"/>
                <w:lang w:eastAsia="en-PH"/>
              </w:rPr>
              <w:t xml:space="preserve"> </w:t>
            </w:r>
          </w:p>
        </w:tc>
      </w:tr>
      <w:tr w:rsidR="00495094" w:rsidRPr="00495094" w14:paraId="3C4363C7" w14:textId="77777777" w:rsidTr="009375CB">
        <w:trPr>
          <w:trHeight w:val="130"/>
          <w:jc w:val="center"/>
        </w:trPr>
        <w:tc>
          <w:tcPr>
            <w:tcW w:w="1754" w:type="dxa"/>
            <w:tcBorders>
              <w:top w:val="single" w:sz="4" w:space="0" w:color="auto"/>
            </w:tcBorders>
            <w:shd w:val="clear" w:color="auto" w:fill="auto"/>
            <w:noWrap/>
            <w:vAlign w:val="bottom"/>
          </w:tcPr>
          <w:p w14:paraId="51AB9FE0" w14:textId="77777777" w:rsidR="007F3EB4" w:rsidRPr="00495094" w:rsidRDefault="007F3EB4" w:rsidP="0083556A">
            <w:pPr>
              <w:ind w:left="-97"/>
              <w:rPr>
                <w:rFonts w:ascii="Arial" w:hAnsi="Arial" w:cs="Arial"/>
                <w:sz w:val="16"/>
                <w:szCs w:val="22"/>
              </w:rPr>
            </w:pPr>
          </w:p>
        </w:tc>
        <w:tc>
          <w:tcPr>
            <w:tcW w:w="1286" w:type="dxa"/>
            <w:tcBorders>
              <w:top w:val="single" w:sz="4" w:space="0" w:color="auto"/>
            </w:tcBorders>
            <w:shd w:val="clear" w:color="auto" w:fill="auto"/>
            <w:noWrap/>
            <w:vAlign w:val="bottom"/>
          </w:tcPr>
          <w:p w14:paraId="402141B2" w14:textId="77777777" w:rsidR="007F3EB4" w:rsidRPr="00495094" w:rsidRDefault="007F3EB4" w:rsidP="0083556A">
            <w:pPr>
              <w:jc w:val="right"/>
              <w:rPr>
                <w:rFonts w:ascii="Arial" w:hAnsi="Arial" w:cs="Arial"/>
                <w:sz w:val="16"/>
                <w:szCs w:val="22"/>
              </w:rPr>
            </w:pPr>
          </w:p>
        </w:tc>
        <w:tc>
          <w:tcPr>
            <w:tcW w:w="1190" w:type="dxa"/>
            <w:tcBorders>
              <w:top w:val="single" w:sz="4" w:space="0" w:color="auto"/>
            </w:tcBorders>
            <w:shd w:val="clear" w:color="auto" w:fill="auto"/>
            <w:noWrap/>
            <w:vAlign w:val="bottom"/>
          </w:tcPr>
          <w:p w14:paraId="56E22407" w14:textId="77777777" w:rsidR="007F3EB4" w:rsidRPr="00495094" w:rsidRDefault="007F3EB4" w:rsidP="0083556A">
            <w:pPr>
              <w:jc w:val="right"/>
              <w:rPr>
                <w:rFonts w:ascii="Arial" w:hAnsi="Arial" w:cs="Arial"/>
                <w:sz w:val="16"/>
                <w:szCs w:val="22"/>
              </w:rPr>
            </w:pPr>
          </w:p>
        </w:tc>
        <w:tc>
          <w:tcPr>
            <w:tcW w:w="1143" w:type="dxa"/>
            <w:tcBorders>
              <w:top w:val="single" w:sz="4" w:space="0" w:color="auto"/>
            </w:tcBorders>
            <w:shd w:val="clear" w:color="auto" w:fill="auto"/>
            <w:noWrap/>
            <w:vAlign w:val="bottom"/>
          </w:tcPr>
          <w:p w14:paraId="3C8CFCA1" w14:textId="77777777" w:rsidR="007F3EB4" w:rsidRPr="00495094" w:rsidRDefault="007F3EB4" w:rsidP="0083556A">
            <w:pPr>
              <w:jc w:val="right"/>
              <w:rPr>
                <w:rFonts w:ascii="Arial" w:hAnsi="Arial" w:cs="Arial"/>
                <w:sz w:val="16"/>
                <w:szCs w:val="22"/>
              </w:rPr>
            </w:pPr>
          </w:p>
        </w:tc>
        <w:tc>
          <w:tcPr>
            <w:tcW w:w="1107" w:type="dxa"/>
            <w:tcBorders>
              <w:top w:val="single" w:sz="4" w:space="0" w:color="auto"/>
            </w:tcBorders>
            <w:shd w:val="clear" w:color="auto" w:fill="auto"/>
            <w:noWrap/>
            <w:vAlign w:val="bottom"/>
          </w:tcPr>
          <w:p w14:paraId="07C48F66" w14:textId="77777777" w:rsidR="007F3EB4" w:rsidRPr="00495094" w:rsidRDefault="007F3EB4" w:rsidP="0083556A">
            <w:pPr>
              <w:jc w:val="right"/>
              <w:rPr>
                <w:rFonts w:ascii="Arial" w:hAnsi="Arial" w:cs="Arial"/>
                <w:sz w:val="16"/>
                <w:szCs w:val="22"/>
              </w:rPr>
            </w:pPr>
          </w:p>
        </w:tc>
        <w:tc>
          <w:tcPr>
            <w:tcW w:w="1350" w:type="dxa"/>
            <w:tcBorders>
              <w:top w:val="single" w:sz="4" w:space="0" w:color="auto"/>
            </w:tcBorders>
            <w:shd w:val="clear" w:color="auto" w:fill="auto"/>
            <w:noWrap/>
            <w:vAlign w:val="bottom"/>
          </w:tcPr>
          <w:p w14:paraId="1ABDE68B" w14:textId="77777777" w:rsidR="007F3EB4" w:rsidRPr="00495094" w:rsidRDefault="007F3EB4" w:rsidP="0083556A">
            <w:pPr>
              <w:jc w:val="right"/>
              <w:rPr>
                <w:rFonts w:ascii="Arial" w:hAnsi="Arial" w:cs="Arial"/>
                <w:sz w:val="16"/>
                <w:szCs w:val="22"/>
              </w:rPr>
            </w:pPr>
          </w:p>
        </w:tc>
        <w:tc>
          <w:tcPr>
            <w:tcW w:w="1288" w:type="dxa"/>
            <w:tcBorders>
              <w:top w:val="single" w:sz="4" w:space="0" w:color="auto"/>
            </w:tcBorders>
            <w:shd w:val="clear" w:color="auto" w:fill="auto"/>
            <w:noWrap/>
            <w:vAlign w:val="bottom"/>
          </w:tcPr>
          <w:p w14:paraId="0242159A" w14:textId="77777777" w:rsidR="007F3EB4" w:rsidRPr="00495094" w:rsidRDefault="007F3EB4" w:rsidP="0083556A">
            <w:pPr>
              <w:jc w:val="right"/>
              <w:rPr>
                <w:rFonts w:ascii="Arial" w:hAnsi="Arial" w:cs="Arial"/>
                <w:sz w:val="16"/>
                <w:szCs w:val="22"/>
              </w:rPr>
            </w:pPr>
          </w:p>
        </w:tc>
      </w:tr>
      <w:tr w:rsidR="00495094" w:rsidRPr="00495094" w14:paraId="4A9CDA5F" w14:textId="77777777" w:rsidTr="003315ED">
        <w:trPr>
          <w:trHeight w:val="180"/>
          <w:jc w:val="center"/>
        </w:trPr>
        <w:tc>
          <w:tcPr>
            <w:tcW w:w="4230" w:type="dxa"/>
            <w:gridSpan w:val="3"/>
            <w:shd w:val="clear" w:color="auto" w:fill="auto"/>
            <w:noWrap/>
          </w:tcPr>
          <w:p w14:paraId="2D294EBB" w14:textId="352D6094" w:rsidR="0083556A" w:rsidRPr="00495094" w:rsidRDefault="0083556A" w:rsidP="003315ED">
            <w:pPr>
              <w:pStyle w:val="Heading9"/>
            </w:pPr>
            <w:r w:rsidRPr="00495094">
              <w:t xml:space="preserve">Accumulated Depreciation/Allowance for Impairment </w:t>
            </w:r>
          </w:p>
        </w:tc>
        <w:tc>
          <w:tcPr>
            <w:tcW w:w="1143" w:type="dxa"/>
            <w:shd w:val="clear" w:color="auto" w:fill="auto"/>
            <w:noWrap/>
            <w:vAlign w:val="bottom"/>
          </w:tcPr>
          <w:p w14:paraId="24BE2451" w14:textId="77777777" w:rsidR="0083556A" w:rsidRPr="00495094" w:rsidRDefault="0083556A" w:rsidP="0083556A">
            <w:pPr>
              <w:jc w:val="right"/>
              <w:rPr>
                <w:rFonts w:ascii="Arial" w:hAnsi="Arial" w:cs="Arial"/>
                <w:sz w:val="16"/>
                <w:szCs w:val="22"/>
              </w:rPr>
            </w:pPr>
          </w:p>
        </w:tc>
        <w:tc>
          <w:tcPr>
            <w:tcW w:w="1107" w:type="dxa"/>
            <w:shd w:val="clear" w:color="auto" w:fill="auto"/>
            <w:noWrap/>
            <w:vAlign w:val="bottom"/>
          </w:tcPr>
          <w:p w14:paraId="2D83FCBC" w14:textId="77777777" w:rsidR="0083556A" w:rsidRPr="00495094" w:rsidRDefault="0083556A" w:rsidP="0083556A">
            <w:pPr>
              <w:jc w:val="right"/>
              <w:rPr>
                <w:rFonts w:ascii="Arial" w:hAnsi="Arial" w:cs="Arial"/>
                <w:sz w:val="16"/>
                <w:szCs w:val="22"/>
              </w:rPr>
            </w:pPr>
          </w:p>
        </w:tc>
        <w:tc>
          <w:tcPr>
            <w:tcW w:w="1350" w:type="dxa"/>
            <w:shd w:val="clear" w:color="auto" w:fill="auto"/>
            <w:noWrap/>
            <w:vAlign w:val="bottom"/>
          </w:tcPr>
          <w:p w14:paraId="3B8392D0" w14:textId="77777777" w:rsidR="0083556A" w:rsidRPr="00495094" w:rsidRDefault="0083556A" w:rsidP="0083556A">
            <w:pPr>
              <w:jc w:val="right"/>
              <w:rPr>
                <w:rFonts w:ascii="Arial" w:hAnsi="Arial" w:cs="Arial"/>
                <w:sz w:val="16"/>
                <w:szCs w:val="22"/>
              </w:rPr>
            </w:pPr>
          </w:p>
        </w:tc>
        <w:tc>
          <w:tcPr>
            <w:tcW w:w="1288" w:type="dxa"/>
            <w:shd w:val="clear" w:color="auto" w:fill="auto"/>
            <w:noWrap/>
            <w:vAlign w:val="bottom"/>
          </w:tcPr>
          <w:p w14:paraId="41A3F939" w14:textId="77777777" w:rsidR="0083556A" w:rsidRPr="00495094" w:rsidRDefault="0083556A" w:rsidP="0083556A">
            <w:pPr>
              <w:jc w:val="right"/>
              <w:rPr>
                <w:rFonts w:ascii="Arial" w:hAnsi="Arial" w:cs="Arial"/>
                <w:sz w:val="16"/>
                <w:szCs w:val="22"/>
              </w:rPr>
            </w:pPr>
          </w:p>
        </w:tc>
      </w:tr>
      <w:tr w:rsidR="00495094" w:rsidRPr="00495094" w14:paraId="2C289A27" w14:textId="77777777" w:rsidTr="003315ED">
        <w:trPr>
          <w:trHeight w:val="106"/>
          <w:jc w:val="center"/>
        </w:trPr>
        <w:tc>
          <w:tcPr>
            <w:tcW w:w="1754" w:type="dxa"/>
            <w:shd w:val="clear" w:color="auto" w:fill="auto"/>
            <w:noWrap/>
            <w:vAlign w:val="bottom"/>
          </w:tcPr>
          <w:p w14:paraId="7E72401B" w14:textId="10D9A7B1" w:rsidR="00B20764" w:rsidRPr="00495094" w:rsidRDefault="00B20764" w:rsidP="00B20764">
            <w:pPr>
              <w:ind w:left="-97"/>
              <w:jc w:val="left"/>
              <w:rPr>
                <w:rFonts w:ascii="Arial" w:hAnsi="Arial" w:cs="Arial"/>
                <w:sz w:val="16"/>
                <w:szCs w:val="22"/>
              </w:rPr>
            </w:pPr>
            <w:r w:rsidRPr="00495094">
              <w:rPr>
                <w:rFonts w:ascii="Arial" w:hAnsi="Arial" w:cs="Arial"/>
                <w:bCs/>
                <w:sz w:val="16"/>
                <w:szCs w:val="22"/>
              </w:rPr>
              <w:t>January 1, 2022</w:t>
            </w:r>
          </w:p>
        </w:tc>
        <w:tc>
          <w:tcPr>
            <w:tcW w:w="1286" w:type="dxa"/>
            <w:shd w:val="clear" w:color="auto" w:fill="auto"/>
            <w:noWrap/>
            <w:vAlign w:val="bottom"/>
          </w:tcPr>
          <w:p w14:paraId="00124499" w14:textId="447610A0"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0   </w:t>
            </w:r>
          </w:p>
        </w:tc>
        <w:tc>
          <w:tcPr>
            <w:tcW w:w="1190" w:type="dxa"/>
            <w:shd w:val="clear" w:color="auto" w:fill="auto"/>
            <w:noWrap/>
            <w:vAlign w:val="bottom"/>
          </w:tcPr>
          <w:p w14:paraId="57DE4D90" w14:textId="0068A192"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23,931,429 </w:t>
            </w:r>
          </w:p>
        </w:tc>
        <w:tc>
          <w:tcPr>
            <w:tcW w:w="1143" w:type="dxa"/>
            <w:shd w:val="clear" w:color="auto" w:fill="auto"/>
            <w:noWrap/>
            <w:vAlign w:val="bottom"/>
          </w:tcPr>
          <w:p w14:paraId="06527F0F" w14:textId="4886684F"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7,325,776 </w:t>
            </w:r>
          </w:p>
        </w:tc>
        <w:tc>
          <w:tcPr>
            <w:tcW w:w="1107" w:type="dxa"/>
            <w:shd w:val="clear" w:color="auto" w:fill="auto"/>
            <w:noWrap/>
            <w:vAlign w:val="bottom"/>
          </w:tcPr>
          <w:p w14:paraId="25E11939" w14:textId="602787B6"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5,901,640 </w:t>
            </w:r>
          </w:p>
        </w:tc>
        <w:tc>
          <w:tcPr>
            <w:tcW w:w="1350" w:type="dxa"/>
            <w:shd w:val="clear" w:color="auto" w:fill="auto"/>
            <w:noWrap/>
            <w:vAlign w:val="bottom"/>
          </w:tcPr>
          <w:p w14:paraId="47917114" w14:textId="67525D82"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95,713,44</w:t>
            </w:r>
            <w:r w:rsidR="00855B7E" w:rsidRPr="00495094">
              <w:rPr>
                <w:rFonts w:ascii="Arial" w:hAnsi="Arial" w:cs="Arial"/>
                <w:sz w:val="16"/>
                <w:szCs w:val="16"/>
                <w:lang w:eastAsia="en-PH"/>
              </w:rPr>
              <w:t>7</w:t>
            </w:r>
            <w:r w:rsidRPr="00495094">
              <w:rPr>
                <w:rFonts w:ascii="Arial" w:hAnsi="Arial" w:cs="Arial"/>
                <w:sz w:val="16"/>
                <w:szCs w:val="16"/>
                <w:lang w:eastAsia="en-PH"/>
              </w:rPr>
              <w:t xml:space="preserve"> </w:t>
            </w:r>
          </w:p>
        </w:tc>
        <w:tc>
          <w:tcPr>
            <w:tcW w:w="1288" w:type="dxa"/>
            <w:shd w:val="clear" w:color="auto" w:fill="auto"/>
            <w:noWrap/>
            <w:vAlign w:val="bottom"/>
          </w:tcPr>
          <w:p w14:paraId="31ABF025" w14:textId="4E4AC2FA"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 xml:space="preserve">132,872,292 </w:t>
            </w:r>
          </w:p>
        </w:tc>
      </w:tr>
      <w:tr w:rsidR="00495094" w:rsidRPr="00495094" w14:paraId="3F23BF91" w14:textId="77777777" w:rsidTr="003315ED">
        <w:trPr>
          <w:trHeight w:val="106"/>
          <w:jc w:val="center"/>
        </w:trPr>
        <w:tc>
          <w:tcPr>
            <w:tcW w:w="1754" w:type="dxa"/>
            <w:shd w:val="clear" w:color="auto" w:fill="auto"/>
            <w:noWrap/>
            <w:vAlign w:val="bottom"/>
          </w:tcPr>
          <w:p w14:paraId="2CAE946C" w14:textId="77777777" w:rsidR="00B20764" w:rsidRPr="00495094" w:rsidRDefault="00B20764" w:rsidP="00B20764">
            <w:pPr>
              <w:rPr>
                <w:rFonts w:ascii="Arial" w:hAnsi="Arial" w:cs="Arial"/>
                <w:sz w:val="16"/>
                <w:szCs w:val="22"/>
              </w:rPr>
            </w:pPr>
            <w:r w:rsidRPr="00495094">
              <w:rPr>
                <w:rFonts w:ascii="Arial" w:hAnsi="Arial" w:cs="Arial"/>
                <w:sz w:val="16"/>
                <w:szCs w:val="22"/>
              </w:rPr>
              <w:t>Provisions</w:t>
            </w:r>
          </w:p>
        </w:tc>
        <w:tc>
          <w:tcPr>
            <w:tcW w:w="1286" w:type="dxa"/>
            <w:shd w:val="clear" w:color="auto" w:fill="auto"/>
            <w:noWrap/>
            <w:vAlign w:val="bottom"/>
          </w:tcPr>
          <w:p w14:paraId="4080CD4C" w14:textId="2526BF46"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0  </w:t>
            </w:r>
          </w:p>
        </w:tc>
        <w:tc>
          <w:tcPr>
            <w:tcW w:w="1190" w:type="dxa"/>
            <w:shd w:val="clear" w:color="auto" w:fill="auto"/>
            <w:noWrap/>
            <w:vAlign w:val="bottom"/>
          </w:tcPr>
          <w:p w14:paraId="2850C330" w14:textId="30E24DEC" w:rsidR="00B20764" w:rsidRPr="00495094" w:rsidRDefault="00445543"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2,583,71</w:t>
            </w:r>
            <w:r w:rsidR="00685E17" w:rsidRPr="00495094">
              <w:rPr>
                <w:rFonts w:ascii="Arial" w:hAnsi="Arial" w:cs="Arial"/>
                <w:sz w:val="16"/>
                <w:szCs w:val="16"/>
                <w:lang w:eastAsia="en-PH"/>
              </w:rPr>
              <w:t>7</w:t>
            </w:r>
            <w:r w:rsidR="00B20764" w:rsidRPr="00495094">
              <w:rPr>
                <w:rFonts w:ascii="Arial" w:hAnsi="Arial" w:cs="Arial"/>
                <w:sz w:val="16"/>
                <w:szCs w:val="16"/>
                <w:lang w:eastAsia="en-PH"/>
              </w:rPr>
              <w:t xml:space="preserve"> </w:t>
            </w:r>
          </w:p>
        </w:tc>
        <w:tc>
          <w:tcPr>
            <w:tcW w:w="1143" w:type="dxa"/>
            <w:shd w:val="clear" w:color="auto" w:fill="auto"/>
            <w:noWrap/>
            <w:vAlign w:val="bottom"/>
          </w:tcPr>
          <w:p w14:paraId="3D5CD577" w14:textId="07A471F1" w:rsidR="00B20764" w:rsidRPr="00495094" w:rsidRDefault="00445543" w:rsidP="003315ED">
            <w:pPr>
              <w:ind w:left="-174"/>
              <w:jc w:val="right"/>
              <w:rPr>
                <w:rFonts w:ascii="Arial" w:hAnsi="Arial" w:cs="Arial"/>
                <w:sz w:val="16"/>
                <w:szCs w:val="22"/>
                <w:lang w:val="en-PH" w:eastAsia="en-PH"/>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149,60</w:t>
            </w:r>
            <w:r w:rsidR="00685E17" w:rsidRPr="00495094">
              <w:rPr>
                <w:rFonts w:ascii="Arial" w:hAnsi="Arial" w:cs="Arial"/>
                <w:sz w:val="16"/>
                <w:szCs w:val="16"/>
                <w:lang w:eastAsia="en-PH"/>
              </w:rPr>
              <w:t>9</w:t>
            </w:r>
            <w:r w:rsidR="00B20764" w:rsidRPr="00495094">
              <w:rPr>
                <w:rFonts w:ascii="Arial" w:hAnsi="Arial" w:cs="Arial"/>
                <w:sz w:val="16"/>
                <w:szCs w:val="16"/>
                <w:lang w:eastAsia="en-PH"/>
              </w:rPr>
              <w:t xml:space="preserve"> </w:t>
            </w:r>
          </w:p>
        </w:tc>
        <w:tc>
          <w:tcPr>
            <w:tcW w:w="1107" w:type="dxa"/>
            <w:shd w:val="clear" w:color="auto" w:fill="auto"/>
            <w:noWrap/>
            <w:vAlign w:val="bottom"/>
          </w:tcPr>
          <w:p w14:paraId="2D760595" w14:textId="6CE1684A" w:rsidR="00B20764" w:rsidRPr="00495094" w:rsidRDefault="001456F9" w:rsidP="003315ED">
            <w:pPr>
              <w:jc w:val="right"/>
              <w:rPr>
                <w:rFonts w:ascii="Arial" w:hAnsi="Arial" w:cs="Arial"/>
                <w:sz w:val="16"/>
                <w:szCs w:val="22"/>
              </w:rPr>
            </w:pPr>
            <w:r w:rsidRPr="00495094">
              <w:rPr>
                <w:rFonts w:ascii="Arial" w:hAnsi="Arial" w:cs="Arial"/>
                <w:sz w:val="16"/>
                <w:szCs w:val="22"/>
              </w:rPr>
              <w:t>0</w:t>
            </w:r>
          </w:p>
        </w:tc>
        <w:tc>
          <w:tcPr>
            <w:tcW w:w="1350" w:type="dxa"/>
            <w:shd w:val="clear" w:color="auto" w:fill="auto"/>
            <w:noWrap/>
            <w:vAlign w:val="bottom"/>
          </w:tcPr>
          <w:p w14:paraId="23C0E652" w14:textId="7D82800A" w:rsidR="00B20764" w:rsidRPr="00495094" w:rsidRDefault="0093255D"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370,95</w:t>
            </w:r>
            <w:r w:rsidR="00685E17" w:rsidRPr="00495094">
              <w:rPr>
                <w:rFonts w:ascii="Arial" w:hAnsi="Arial" w:cs="Arial"/>
                <w:sz w:val="16"/>
                <w:szCs w:val="16"/>
                <w:lang w:eastAsia="en-PH"/>
              </w:rPr>
              <w:t>3</w:t>
            </w:r>
            <w:r w:rsidR="00B20764" w:rsidRPr="00495094">
              <w:rPr>
                <w:rFonts w:ascii="Arial" w:hAnsi="Arial" w:cs="Arial"/>
                <w:sz w:val="16"/>
                <w:szCs w:val="16"/>
                <w:lang w:eastAsia="en-PH"/>
              </w:rPr>
              <w:t xml:space="preserve"> </w:t>
            </w:r>
          </w:p>
        </w:tc>
        <w:tc>
          <w:tcPr>
            <w:tcW w:w="1288" w:type="dxa"/>
            <w:shd w:val="clear" w:color="auto" w:fill="auto"/>
            <w:noWrap/>
            <w:vAlign w:val="bottom"/>
          </w:tcPr>
          <w:p w14:paraId="3A508C51" w14:textId="6A3FF5AE" w:rsidR="00B20764" w:rsidRPr="00495094" w:rsidRDefault="0093255D"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3,104,279 </w:t>
            </w:r>
          </w:p>
        </w:tc>
      </w:tr>
      <w:tr w:rsidR="00495094" w:rsidRPr="00495094" w14:paraId="15D712AE" w14:textId="77777777" w:rsidTr="003315ED">
        <w:trPr>
          <w:trHeight w:val="106"/>
          <w:jc w:val="center"/>
        </w:trPr>
        <w:tc>
          <w:tcPr>
            <w:tcW w:w="1754" w:type="dxa"/>
            <w:shd w:val="clear" w:color="auto" w:fill="auto"/>
            <w:noWrap/>
            <w:vAlign w:val="bottom"/>
          </w:tcPr>
          <w:p w14:paraId="632FE1D3" w14:textId="40F2BDB2" w:rsidR="00B20764" w:rsidRPr="00495094" w:rsidRDefault="00B20764" w:rsidP="00B20764">
            <w:pPr>
              <w:rPr>
                <w:rFonts w:ascii="Arial" w:hAnsi="Arial" w:cs="Arial"/>
                <w:sz w:val="16"/>
                <w:szCs w:val="22"/>
              </w:rPr>
            </w:pPr>
            <w:r w:rsidRPr="00495094">
              <w:rPr>
                <w:rFonts w:ascii="Arial" w:hAnsi="Arial" w:cs="Arial"/>
                <w:sz w:val="16"/>
                <w:szCs w:val="22"/>
              </w:rPr>
              <w:t>Reclassification</w:t>
            </w:r>
          </w:p>
        </w:tc>
        <w:tc>
          <w:tcPr>
            <w:tcW w:w="1286" w:type="dxa"/>
            <w:shd w:val="clear" w:color="auto" w:fill="auto"/>
            <w:noWrap/>
            <w:vAlign w:val="bottom"/>
          </w:tcPr>
          <w:p w14:paraId="3EF743BA" w14:textId="32C10B46" w:rsidR="00B20764" w:rsidRPr="00495094" w:rsidRDefault="00B20764" w:rsidP="003315ED">
            <w:pPr>
              <w:jc w:val="right"/>
              <w:rPr>
                <w:rFonts w:ascii="Arial" w:hAnsi="Arial" w:cs="Arial"/>
                <w:sz w:val="16"/>
                <w:szCs w:val="22"/>
              </w:rPr>
            </w:pPr>
            <w:r w:rsidRPr="00495094">
              <w:rPr>
                <w:rFonts w:ascii="Arial" w:hAnsi="Arial" w:cs="Arial"/>
                <w:sz w:val="16"/>
                <w:szCs w:val="16"/>
              </w:rPr>
              <w:t xml:space="preserve">0   </w:t>
            </w:r>
          </w:p>
        </w:tc>
        <w:tc>
          <w:tcPr>
            <w:tcW w:w="1190" w:type="dxa"/>
            <w:shd w:val="clear" w:color="auto" w:fill="auto"/>
            <w:noWrap/>
            <w:vAlign w:val="bottom"/>
          </w:tcPr>
          <w:p w14:paraId="2EEE1BE0" w14:textId="32DA47F5" w:rsidR="00B20764" w:rsidRPr="00495094" w:rsidRDefault="00B20764" w:rsidP="003315ED">
            <w:pPr>
              <w:jc w:val="right"/>
              <w:rPr>
                <w:rFonts w:ascii="Arial" w:hAnsi="Arial" w:cs="Arial"/>
                <w:sz w:val="16"/>
                <w:szCs w:val="22"/>
              </w:rPr>
            </w:pPr>
          </w:p>
        </w:tc>
        <w:tc>
          <w:tcPr>
            <w:tcW w:w="1143" w:type="dxa"/>
            <w:shd w:val="clear" w:color="auto" w:fill="auto"/>
            <w:noWrap/>
            <w:vAlign w:val="bottom"/>
          </w:tcPr>
          <w:p w14:paraId="7FB02A07" w14:textId="7B075F70" w:rsidR="00B20764" w:rsidRPr="00495094" w:rsidRDefault="00445543" w:rsidP="003315ED">
            <w:pPr>
              <w:ind w:left="-174"/>
              <w:jc w:val="right"/>
              <w:rPr>
                <w:rFonts w:ascii="Arial" w:hAnsi="Arial" w:cs="Arial"/>
                <w:sz w:val="16"/>
                <w:szCs w:val="22"/>
                <w:lang w:val="en-PH" w:eastAsia="en-PH"/>
              </w:rPr>
            </w:pPr>
            <w:r w:rsidRPr="00495094">
              <w:rPr>
                <w:rFonts w:ascii="Arial" w:hAnsi="Arial" w:cs="Arial"/>
                <w:sz w:val="16"/>
                <w:szCs w:val="16"/>
                <w:lang w:eastAsia="en-PH"/>
              </w:rPr>
              <w:t xml:space="preserve">         </w:t>
            </w:r>
            <w:r w:rsidR="003C4127" w:rsidRPr="00495094">
              <w:rPr>
                <w:rFonts w:ascii="Arial" w:hAnsi="Arial" w:cs="Arial"/>
                <w:sz w:val="16"/>
                <w:szCs w:val="16"/>
                <w:lang w:eastAsia="en-PH"/>
              </w:rPr>
              <w:t xml:space="preserve">    </w:t>
            </w: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0 </w:t>
            </w:r>
          </w:p>
        </w:tc>
        <w:tc>
          <w:tcPr>
            <w:tcW w:w="1107" w:type="dxa"/>
            <w:shd w:val="clear" w:color="auto" w:fill="auto"/>
            <w:noWrap/>
            <w:vAlign w:val="bottom"/>
          </w:tcPr>
          <w:p w14:paraId="24493D97" w14:textId="64E538EE" w:rsidR="00B20764" w:rsidRPr="00495094" w:rsidRDefault="003C4127"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2,000 </w:t>
            </w:r>
          </w:p>
        </w:tc>
        <w:tc>
          <w:tcPr>
            <w:tcW w:w="1350" w:type="dxa"/>
            <w:shd w:val="clear" w:color="auto" w:fill="auto"/>
            <w:noWrap/>
            <w:vAlign w:val="bottom"/>
          </w:tcPr>
          <w:p w14:paraId="28CC84D3" w14:textId="48C5FC5E" w:rsidR="00B20764" w:rsidRPr="00495094" w:rsidRDefault="0093255D"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480,925 </w:t>
            </w:r>
          </w:p>
        </w:tc>
        <w:tc>
          <w:tcPr>
            <w:tcW w:w="1288" w:type="dxa"/>
            <w:shd w:val="clear" w:color="auto" w:fill="auto"/>
            <w:noWrap/>
            <w:vAlign w:val="bottom"/>
          </w:tcPr>
          <w:p w14:paraId="49106A9E" w14:textId="6E6F904A" w:rsidR="00B20764" w:rsidRPr="00495094" w:rsidRDefault="0093255D" w:rsidP="003315ED">
            <w:pPr>
              <w:jc w:val="right"/>
              <w:rPr>
                <w:rFonts w:ascii="Arial" w:hAnsi="Arial" w:cs="Arial"/>
                <w:sz w:val="16"/>
                <w:szCs w:val="22"/>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 xml:space="preserve">482,925 </w:t>
            </w:r>
          </w:p>
        </w:tc>
      </w:tr>
      <w:tr w:rsidR="00495094" w:rsidRPr="00495094" w14:paraId="4CCBD7E1" w14:textId="77777777" w:rsidTr="003315ED">
        <w:trPr>
          <w:trHeight w:val="106"/>
          <w:jc w:val="center"/>
        </w:trPr>
        <w:tc>
          <w:tcPr>
            <w:tcW w:w="1754" w:type="dxa"/>
            <w:shd w:val="clear" w:color="auto" w:fill="auto"/>
            <w:noWrap/>
            <w:vAlign w:val="bottom"/>
          </w:tcPr>
          <w:p w14:paraId="79676938" w14:textId="433707D1" w:rsidR="00B20764" w:rsidRPr="00495094" w:rsidRDefault="00B20764" w:rsidP="00B20764">
            <w:pPr>
              <w:rPr>
                <w:rFonts w:ascii="Arial" w:hAnsi="Arial" w:cs="Arial"/>
                <w:sz w:val="16"/>
                <w:szCs w:val="22"/>
              </w:rPr>
            </w:pPr>
            <w:r w:rsidRPr="00495094">
              <w:rPr>
                <w:rFonts w:ascii="Arial" w:hAnsi="Arial" w:cs="Arial"/>
                <w:sz w:val="16"/>
                <w:szCs w:val="22"/>
              </w:rPr>
              <w:t>Disposal</w:t>
            </w:r>
          </w:p>
        </w:tc>
        <w:tc>
          <w:tcPr>
            <w:tcW w:w="1286" w:type="dxa"/>
            <w:shd w:val="clear" w:color="auto" w:fill="auto"/>
            <w:noWrap/>
            <w:vAlign w:val="bottom"/>
          </w:tcPr>
          <w:p w14:paraId="0F3C7385" w14:textId="276FA245" w:rsidR="00B20764" w:rsidRPr="00495094" w:rsidRDefault="00B20764" w:rsidP="003315ED">
            <w:pPr>
              <w:jc w:val="right"/>
              <w:rPr>
                <w:rFonts w:ascii="Arial" w:hAnsi="Arial" w:cs="Arial"/>
                <w:sz w:val="16"/>
                <w:szCs w:val="22"/>
              </w:rPr>
            </w:pPr>
            <w:r w:rsidRPr="00495094">
              <w:rPr>
                <w:rFonts w:ascii="Arial" w:hAnsi="Arial" w:cs="Arial"/>
                <w:sz w:val="16"/>
                <w:szCs w:val="16"/>
              </w:rPr>
              <w:t>0</w:t>
            </w:r>
          </w:p>
        </w:tc>
        <w:tc>
          <w:tcPr>
            <w:tcW w:w="1190" w:type="dxa"/>
            <w:shd w:val="clear" w:color="auto" w:fill="auto"/>
            <w:noWrap/>
            <w:vAlign w:val="bottom"/>
          </w:tcPr>
          <w:p w14:paraId="1D2877A1" w14:textId="48FF6789" w:rsidR="00B20764" w:rsidRPr="00495094" w:rsidRDefault="00445543" w:rsidP="003315ED">
            <w:pPr>
              <w:jc w:val="right"/>
              <w:rPr>
                <w:rFonts w:ascii="Arial" w:hAnsi="Arial" w:cs="Arial"/>
                <w:sz w:val="16"/>
                <w:szCs w:val="22"/>
              </w:rPr>
            </w:pPr>
            <w:r w:rsidRPr="00495094">
              <w:rPr>
                <w:rFonts w:ascii="Arial" w:hAnsi="Arial" w:cs="Arial"/>
                <w:sz w:val="16"/>
                <w:szCs w:val="22"/>
              </w:rPr>
              <w:t xml:space="preserve">                    </w:t>
            </w:r>
          </w:p>
        </w:tc>
        <w:tc>
          <w:tcPr>
            <w:tcW w:w="1143" w:type="dxa"/>
            <w:shd w:val="clear" w:color="auto" w:fill="auto"/>
            <w:noWrap/>
            <w:vAlign w:val="bottom"/>
          </w:tcPr>
          <w:p w14:paraId="34822BD0" w14:textId="0933C7F7" w:rsidR="00B20764" w:rsidRPr="00495094" w:rsidRDefault="00445543" w:rsidP="003315ED">
            <w:pPr>
              <w:ind w:left="-174"/>
              <w:jc w:val="right"/>
              <w:rPr>
                <w:rFonts w:ascii="Arial" w:hAnsi="Arial" w:cs="Arial"/>
                <w:sz w:val="16"/>
                <w:szCs w:val="22"/>
                <w:lang w:val="en-PH" w:eastAsia="en-PH"/>
              </w:rPr>
            </w:pPr>
            <w:r w:rsidRPr="00495094">
              <w:rPr>
                <w:rFonts w:ascii="Arial" w:hAnsi="Arial" w:cs="Arial"/>
                <w:sz w:val="16"/>
                <w:szCs w:val="16"/>
                <w:lang w:eastAsia="en-PH"/>
              </w:rPr>
              <w:t xml:space="preserve">    </w:t>
            </w:r>
            <w:r w:rsidR="00B20764" w:rsidRPr="00495094">
              <w:rPr>
                <w:rFonts w:ascii="Arial" w:hAnsi="Arial" w:cs="Arial"/>
                <w:sz w:val="16"/>
                <w:szCs w:val="16"/>
                <w:lang w:eastAsia="en-PH"/>
              </w:rPr>
              <w:t>(130,499)</w:t>
            </w:r>
          </w:p>
        </w:tc>
        <w:tc>
          <w:tcPr>
            <w:tcW w:w="1107" w:type="dxa"/>
            <w:shd w:val="clear" w:color="auto" w:fill="auto"/>
            <w:noWrap/>
            <w:vAlign w:val="bottom"/>
          </w:tcPr>
          <w:p w14:paraId="00D7999E" w14:textId="4C7CD1A6"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(1,769,39</w:t>
            </w:r>
            <w:r w:rsidR="00685E17" w:rsidRPr="00495094">
              <w:rPr>
                <w:rFonts w:ascii="Arial" w:hAnsi="Arial" w:cs="Arial"/>
                <w:sz w:val="16"/>
                <w:szCs w:val="16"/>
                <w:lang w:eastAsia="en-PH"/>
              </w:rPr>
              <w:t>7</w:t>
            </w:r>
            <w:r w:rsidRPr="00495094">
              <w:rPr>
                <w:rFonts w:ascii="Arial" w:hAnsi="Arial" w:cs="Arial"/>
                <w:sz w:val="16"/>
                <w:szCs w:val="16"/>
                <w:lang w:eastAsia="en-PH"/>
              </w:rPr>
              <w:t>)</w:t>
            </w:r>
          </w:p>
        </w:tc>
        <w:tc>
          <w:tcPr>
            <w:tcW w:w="1350" w:type="dxa"/>
            <w:shd w:val="clear" w:color="auto" w:fill="auto"/>
            <w:noWrap/>
            <w:vAlign w:val="bottom"/>
          </w:tcPr>
          <w:p w14:paraId="6A2CE7B6" w14:textId="1BA7D8B0"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(6,229,89</w:t>
            </w:r>
            <w:r w:rsidR="00685E17" w:rsidRPr="00495094">
              <w:rPr>
                <w:rFonts w:ascii="Arial" w:hAnsi="Arial" w:cs="Arial"/>
                <w:sz w:val="16"/>
                <w:szCs w:val="16"/>
                <w:lang w:eastAsia="en-PH"/>
              </w:rPr>
              <w:t>1</w:t>
            </w:r>
            <w:r w:rsidRPr="00495094">
              <w:rPr>
                <w:rFonts w:ascii="Arial" w:hAnsi="Arial" w:cs="Arial"/>
                <w:sz w:val="16"/>
                <w:szCs w:val="16"/>
                <w:lang w:eastAsia="en-PH"/>
              </w:rPr>
              <w:t>)</w:t>
            </w:r>
          </w:p>
        </w:tc>
        <w:tc>
          <w:tcPr>
            <w:tcW w:w="1288" w:type="dxa"/>
            <w:shd w:val="clear" w:color="auto" w:fill="auto"/>
            <w:noWrap/>
            <w:vAlign w:val="bottom"/>
          </w:tcPr>
          <w:p w14:paraId="57C21C7D" w14:textId="7EFD8F1A"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(8,129,78</w:t>
            </w:r>
            <w:r w:rsidR="005D5A42" w:rsidRPr="00495094">
              <w:rPr>
                <w:rFonts w:ascii="Arial" w:hAnsi="Arial" w:cs="Arial"/>
                <w:sz w:val="16"/>
                <w:szCs w:val="16"/>
                <w:lang w:eastAsia="en-PH"/>
              </w:rPr>
              <w:t>7</w:t>
            </w:r>
            <w:r w:rsidRPr="00495094">
              <w:rPr>
                <w:rFonts w:ascii="Arial" w:hAnsi="Arial" w:cs="Arial"/>
                <w:sz w:val="16"/>
                <w:szCs w:val="16"/>
                <w:lang w:eastAsia="en-PH"/>
              </w:rPr>
              <w:t>)</w:t>
            </w:r>
          </w:p>
        </w:tc>
      </w:tr>
      <w:tr w:rsidR="00495094" w:rsidRPr="00495094" w14:paraId="5B8D1766" w14:textId="77777777" w:rsidTr="003315ED">
        <w:trPr>
          <w:trHeight w:val="71"/>
          <w:jc w:val="center"/>
        </w:trPr>
        <w:tc>
          <w:tcPr>
            <w:tcW w:w="1754" w:type="dxa"/>
            <w:tcBorders>
              <w:top w:val="single" w:sz="4" w:space="0" w:color="auto"/>
              <w:bottom w:val="single" w:sz="4" w:space="0" w:color="auto"/>
            </w:tcBorders>
            <w:shd w:val="clear" w:color="auto" w:fill="auto"/>
            <w:noWrap/>
            <w:vAlign w:val="bottom"/>
            <w:hideMark/>
          </w:tcPr>
          <w:p w14:paraId="2D0CD3D1" w14:textId="4A1D5394" w:rsidR="00B20764" w:rsidRPr="00495094" w:rsidRDefault="00B20764" w:rsidP="00B20764">
            <w:pPr>
              <w:ind w:left="-97"/>
              <w:rPr>
                <w:rFonts w:ascii="Arial" w:hAnsi="Arial" w:cs="Arial"/>
                <w:bCs/>
                <w:sz w:val="16"/>
                <w:szCs w:val="22"/>
              </w:rPr>
            </w:pPr>
            <w:r w:rsidRPr="00495094">
              <w:rPr>
                <w:rFonts w:ascii="Arial" w:hAnsi="Arial" w:cs="Arial"/>
                <w:sz w:val="16"/>
                <w:szCs w:val="22"/>
              </w:rPr>
              <w:t>December 31, 2022</w:t>
            </w:r>
          </w:p>
        </w:tc>
        <w:tc>
          <w:tcPr>
            <w:tcW w:w="1286" w:type="dxa"/>
            <w:tcBorders>
              <w:top w:val="single" w:sz="4" w:space="0" w:color="auto"/>
              <w:bottom w:val="single" w:sz="4" w:space="0" w:color="auto"/>
            </w:tcBorders>
            <w:shd w:val="clear" w:color="auto" w:fill="auto"/>
            <w:noWrap/>
            <w:vAlign w:val="bottom"/>
          </w:tcPr>
          <w:p w14:paraId="6026B29F" w14:textId="14B413A2" w:rsidR="00B20764" w:rsidRPr="00495094" w:rsidRDefault="00B20764" w:rsidP="003315ED">
            <w:pPr>
              <w:jc w:val="right"/>
              <w:rPr>
                <w:rFonts w:ascii="Arial" w:hAnsi="Arial" w:cs="Arial"/>
                <w:sz w:val="16"/>
                <w:szCs w:val="22"/>
              </w:rPr>
            </w:pPr>
            <w:r w:rsidRPr="00495094">
              <w:rPr>
                <w:rFonts w:ascii="Arial" w:hAnsi="Arial" w:cs="Arial"/>
                <w:sz w:val="16"/>
                <w:szCs w:val="22"/>
              </w:rPr>
              <w:t>0</w:t>
            </w:r>
          </w:p>
        </w:tc>
        <w:tc>
          <w:tcPr>
            <w:tcW w:w="1190" w:type="dxa"/>
            <w:tcBorders>
              <w:top w:val="single" w:sz="4" w:space="0" w:color="auto"/>
              <w:bottom w:val="single" w:sz="4" w:space="0" w:color="auto"/>
            </w:tcBorders>
            <w:shd w:val="clear" w:color="auto" w:fill="auto"/>
            <w:noWrap/>
            <w:vAlign w:val="bottom"/>
          </w:tcPr>
          <w:p w14:paraId="479F695C" w14:textId="0A38D603"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26,515,14</w:t>
            </w:r>
            <w:r w:rsidR="00685E17" w:rsidRPr="00495094">
              <w:rPr>
                <w:rFonts w:ascii="Arial" w:hAnsi="Arial" w:cs="Arial"/>
                <w:sz w:val="16"/>
                <w:szCs w:val="16"/>
                <w:lang w:eastAsia="en-PH"/>
              </w:rPr>
              <w:t>6</w:t>
            </w:r>
            <w:r w:rsidRPr="00495094">
              <w:rPr>
                <w:rFonts w:ascii="Arial" w:hAnsi="Arial" w:cs="Arial"/>
                <w:sz w:val="16"/>
                <w:szCs w:val="16"/>
                <w:lang w:eastAsia="en-PH"/>
              </w:rPr>
              <w:t xml:space="preserve"> </w:t>
            </w:r>
          </w:p>
        </w:tc>
        <w:tc>
          <w:tcPr>
            <w:tcW w:w="1143" w:type="dxa"/>
            <w:tcBorders>
              <w:top w:val="single" w:sz="4" w:space="0" w:color="auto"/>
              <w:bottom w:val="single" w:sz="4" w:space="0" w:color="auto"/>
            </w:tcBorders>
            <w:shd w:val="clear" w:color="auto" w:fill="auto"/>
            <w:noWrap/>
            <w:vAlign w:val="bottom"/>
          </w:tcPr>
          <w:p w14:paraId="4999C1F7" w14:textId="6F095EDA"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7,344,88</w:t>
            </w:r>
            <w:r w:rsidR="00685E17" w:rsidRPr="00495094">
              <w:rPr>
                <w:rFonts w:ascii="Arial" w:hAnsi="Arial" w:cs="Arial"/>
                <w:sz w:val="16"/>
                <w:szCs w:val="16"/>
                <w:lang w:eastAsia="en-PH"/>
              </w:rPr>
              <w:t>6</w:t>
            </w:r>
            <w:r w:rsidRPr="00495094">
              <w:rPr>
                <w:rFonts w:ascii="Arial" w:hAnsi="Arial" w:cs="Arial"/>
                <w:sz w:val="16"/>
                <w:szCs w:val="16"/>
                <w:lang w:eastAsia="en-PH"/>
              </w:rPr>
              <w:t xml:space="preserve"> </w:t>
            </w:r>
          </w:p>
        </w:tc>
        <w:tc>
          <w:tcPr>
            <w:tcW w:w="1107" w:type="dxa"/>
            <w:tcBorders>
              <w:top w:val="single" w:sz="4" w:space="0" w:color="auto"/>
              <w:bottom w:val="single" w:sz="4" w:space="0" w:color="auto"/>
            </w:tcBorders>
            <w:shd w:val="clear" w:color="auto" w:fill="auto"/>
            <w:noWrap/>
            <w:vAlign w:val="bottom"/>
          </w:tcPr>
          <w:p w14:paraId="2AB30EE0" w14:textId="334B9827"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4,134,24</w:t>
            </w:r>
            <w:r w:rsidR="00685E17" w:rsidRPr="00495094">
              <w:rPr>
                <w:rFonts w:ascii="Arial" w:hAnsi="Arial" w:cs="Arial"/>
                <w:sz w:val="16"/>
                <w:szCs w:val="16"/>
                <w:lang w:eastAsia="en-PH"/>
              </w:rPr>
              <w:t>3</w:t>
            </w:r>
            <w:r w:rsidRPr="00495094">
              <w:rPr>
                <w:rFonts w:ascii="Arial" w:hAnsi="Arial" w:cs="Arial"/>
                <w:sz w:val="16"/>
                <w:szCs w:val="16"/>
                <w:lang w:eastAsia="en-PH"/>
              </w:rPr>
              <w:t xml:space="preserve"> </w:t>
            </w:r>
          </w:p>
        </w:tc>
        <w:tc>
          <w:tcPr>
            <w:tcW w:w="1350" w:type="dxa"/>
            <w:tcBorders>
              <w:top w:val="single" w:sz="4" w:space="0" w:color="auto"/>
              <w:bottom w:val="single" w:sz="4" w:space="0" w:color="auto"/>
            </w:tcBorders>
            <w:shd w:val="clear" w:color="auto" w:fill="auto"/>
            <w:noWrap/>
            <w:vAlign w:val="bottom"/>
          </w:tcPr>
          <w:p w14:paraId="324E81AA" w14:textId="0F192AE8"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90,335,43</w:t>
            </w:r>
            <w:r w:rsidR="00685E17" w:rsidRPr="00495094">
              <w:rPr>
                <w:rFonts w:ascii="Arial" w:hAnsi="Arial" w:cs="Arial"/>
                <w:sz w:val="16"/>
                <w:szCs w:val="16"/>
                <w:lang w:eastAsia="en-PH"/>
              </w:rPr>
              <w:t>4</w:t>
            </w:r>
            <w:r w:rsidRPr="00495094">
              <w:rPr>
                <w:rFonts w:ascii="Arial" w:hAnsi="Arial" w:cs="Arial"/>
                <w:sz w:val="16"/>
                <w:szCs w:val="16"/>
                <w:lang w:eastAsia="en-PH"/>
              </w:rPr>
              <w:t xml:space="preserve"> </w:t>
            </w:r>
          </w:p>
        </w:tc>
        <w:tc>
          <w:tcPr>
            <w:tcW w:w="1288" w:type="dxa"/>
            <w:tcBorders>
              <w:top w:val="single" w:sz="4" w:space="0" w:color="auto"/>
              <w:bottom w:val="single" w:sz="4" w:space="0" w:color="auto"/>
            </w:tcBorders>
            <w:shd w:val="clear" w:color="auto" w:fill="auto"/>
            <w:noWrap/>
            <w:vAlign w:val="bottom"/>
          </w:tcPr>
          <w:p w14:paraId="08D12BE1" w14:textId="08A7A43C" w:rsidR="00B20764" w:rsidRPr="00495094" w:rsidRDefault="00B20764" w:rsidP="003315ED">
            <w:pPr>
              <w:jc w:val="right"/>
              <w:rPr>
                <w:rFonts w:ascii="Arial" w:hAnsi="Arial" w:cs="Arial"/>
                <w:sz w:val="16"/>
                <w:szCs w:val="22"/>
              </w:rPr>
            </w:pPr>
            <w:r w:rsidRPr="00495094">
              <w:rPr>
                <w:rFonts w:ascii="Arial" w:hAnsi="Arial" w:cs="Arial"/>
                <w:sz w:val="16"/>
                <w:szCs w:val="16"/>
                <w:lang w:eastAsia="en-PH"/>
              </w:rPr>
              <w:t>128,329,70</w:t>
            </w:r>
            <w:r w:rsidR="005D5A42" w:rsidRPr="00495094">
              <w:rPr>
                <w:rFonts w:ascii="Arial" w:hAnsi="Arial" w:cs="Arial"/>
                <w:sz w:val="16"/>
                <w:szCs w:val="16"/>
                <w:lang w:eastAsia="en-PH"/>
              </w:rPr>
              <w:t>9</w:t>
            </w:r>
            <w:r w:rsidRPr="00495094">
              <w:rPr>
                <w:rFonts w:ascii="Arial" w:hAnsi="Arial" w:cs="Arial"/>
                <w:sz w:val="16"/>
                <w:szCs w:val="16"/>
                <w:lang w:eastAsia="en-PH"/>
              </w:rPr>
              <w:t xml:space="preserve"> </w:t>
            </w:r>
          </w:p>
        </w:tc>
      </w:tr>
      <w:tr w:rsidR="00AC65AC" w:rsidRPr="00495094" w14:paraId="1F23E1A1" w14:textId="77777777" w:rsidTr="003315ED">
        <w:trPr>
          <w:trHeight w:val="204"/>
          <w:jc w:val="center"/>
        </w:trPr>
        <w:tc>
          <w:tcPr>
            <w:tcW w:w="1754" w:type="dxa"/>
            <w:tcBorders>
              <w:top w:val="single" w:sz="4" w:space="0" w:color="auto"/>
              <w:bottom w:val="double" w:sz="4" w:space="0" w:color="auto"/>
            </w:tcBorders>
            <w:shd w:val="clear" w:color="auto" w:fill="auto"/>
            <w:noWrap/>
            <w:vAlign w:val="bottom"/>
          </w:tcPr>
          <w:p w14:paraId="4EC79AE4" w14:textId="77777777" w:rsidR="00AC65AC" w:rsidRPr="00495094" w:rsidRDefault="00AC65AC" w:rsidP="00AC65AC">
            <w:pPr>
              <w:ind w:left="-98"/>
              <w:rPr>
                <w:rFonts w:ascii="Arial" w:hAnsi="Arial" w:cs="Arial"/>
                <w:bCs/>
                <w:sz w:val="16"/>
                <w:szCs w:val="22"/>
              </w:rPr>
            </w:pPr>
            <w:r w:rsidRPr="00495094">
              <w:rPr>
                <w:rFonts w:ascii="Arial" w:hAnsi="Arial" w:cs="Arial"/>
                <w:bCs/>
                <w:sz w:val="16"/>
                <w:szCs w:val="22"/>
              </w:rPr>
              <w:t xml:space="preserve">Carrying amount </w:t>
            </w:r>
          </w:p>
          <w:p w14:paraId="5A8DF9D0" w14:textId="0CA570CE" w:rsidR="00AC65AC" w:rsidRPr="00495094" w:rsidRDefault="00AC65AC" w:rsidP="00AC65AC">
            <w:pPr>
              <w:ind w:left="-98"/>
              <w:rPr>
                <w:rFonts w:ascii="Arial" w:hAnsi="Arial" w:cs="Arial"/>
                <w:bCs/>
                <w:sz w:val="16"/>
                <w:szCs w:val="22"/>
              </w:rPr>
            </w:pPr>
            <w:r w:rsidRPr="00495094">
              <w:rPr>
                <w:rFonts w:ascii="Arial" w:hAnsi="Arial" w:cs="Arial"/>
                <w:bCs/>
                <w:sz w:val="16"/>
                <w:szCs w:val="22"/>
              </w:rPr>
              <w:t>December 31, 2022</w:t>
            </w:r>
          </w:p>
        </w:tc>
        <w:tc>
          <w:tcPr>
            <w:tcW w:w="1286" w:type="dxa"/>
            <w:tcBorders>
              <w:top w:val="single" w:sz="4" w:space="0" w:color="auto"/>
              <w:bottom w:val="double" w:sz="4" w:space="0" w:color="auto"/>
            </w:tcBorders>
            <w:shd w:val="clear" w:color="auto" w:fill="auto"/>
            <w:noWrap/>
            <w:vAlign w:val="bottom"/>
          </w:tcPr>
          <w:p w14:paraId="13B58A5D" w14:textId="2049E62F" w:rsidR="00AC65AC" w:rsidRPr="00495094" w:rsidRDefault="00AC65AC" w:rsidP="003315ED">
            <w:pPr>
              <w:jc w:val="right"/>
              <w:rPr>
                <w:rFonts w:ascii="Arial" w:hAnsi="Arial" w:cs="Arial"/>
                <w:sz w:val="16"/>
                <w:szCs w:val="16"/>
              </w:rPr>
            </w:pPr>
            <w:r w:rsidRPr="00495094">
              <w:rPr>
                <w:rFonts w:ascii="Arial" w:hAnsi="Arial" w:cs="Arial"/>
                <w:sz w:val="16"/>
                <w:szCs w:val="16"/>
              </w:rPr>
              <w:t xml:space="preserve">          131,008,000 </w:t>
            </w:r>
          </w:p>
        </w:tc>
        <w:tc>
          <w:tcPr>
            <w:tcW w:w="1190" w:type="dxa"/>
            <w:tcBorders>
              <w:top w:val="single" w:sz="4" w:space="0" w:color="auto"/>
              <w:bottom w:val="double" w:sz="4" w:space="0" w:color="auto"/>
            </w:tcBorders>
            <w:shd w:val="clear" w:color="auto" w:fill="auto"/>
            <w:noWrap/>
            <w:vAlign w:val="bottom"/>
          </w:tcPr>
          <w:p w14:paraId="611ECD74" w14:textId="4E105218" w:rsidR="00AC65AC" w:rsidRPr="00495094" w:rsidRDefault="00AC65AC" w:rsidP="003315ED">
            <w:pPr>
              <w:jc w:val="right"/>
              <w:rPr>
                <w:rFonts w:ascii="Arial" w:hAnsi="Arial" w:cs="Arial"/>
                <w:sz w:val="16"/>
                <w:szCs w:val="16"/>
              </w:rPr>
            </w:pPr>
            <w:r w:rsidRPr="00495094">
              <w:rPr>
                <w:rFonts w:ascii="Arial" w:hAnsi="Arial" w:cs="Arial"/>
                <w:sz w:val="16"/>
                <w:szCs w:val="16"/>
              </w:rPr>
              <w:t xml:space="preserve">             21,684,695 </w:t>
            </w:r>
          </w:p>
        </w:tc>
        <w:tc>
          <w:tcPr>
            <w:tcW w:w="1143" w:type="dxa"/>
            <w:tcBorders>
              <w:top w:val="single" w:sz="4" w:space="0" w:color="auto"/>
              <w:bottom w:val="double" w:sz="4" w:space="0" w:color="auto"/>
            </w:tcBorders>
            <w:shd w:val="clear" w:color="auto" w:fill="auto"/>
            <w:noWrap/>
            <w:vAlign w:val="bottom"/>
          </w:tcPr>
          <w:p w14:paraId="75BCD2CC" w14:textId="4093115C" w:rsidR="00AC65AC" w:rsidRPr="00495094" w:rsidRDefault="00AC65AC" w:rsidP="003315ED">
            <w:pPr>
              <w:jc w:val="right"/>
              <w:rPr>
                <w:rFonts w:ascii="Arial" w:hAnsi="Arial" w:cs="Arial"/>
                <w:bCs/>
                <w:sz w:val="16"/>
                <w:szCs w:val="16"/>
                <w:lang w:val="en-PH" w:eastAsia="en-PH"/>
              </w:rPr>
            </w:pPr>
            <w:r w:rsidRPr="00495094">
              <w:rPr>
                <w:rFonts w:ascii="Arial" w:hAnsi="Arial" w:cs="Arial"/>
                <w:sz w:val="16"/>
                <w:szCs w:val="16"/>
              </w:rPr>
              <w:t xml:space="preserve">             416,973 </w:t>
            </w:r>
          </w:p>
        </w:tc>
        <w:tc>
          <w:tcPr>
            <w:tcW w:w="1107" w:type="dxa"/>
            <w:tcBorders>
              <w:top w:val="single" w:sz="4" w:space="0" w:color="auto"/>
              <w:bottom w:val="double" w:sz="4" w:space="0" w:color="auto"/>
            </w:tcBorders>
            <w:shd w:val="clear" w:color="auto" w:fill="auto"/>
            <w:noWrap/>
            <w:vAlign w:val="bottom"/>
          </w:tcPr>
          <w:p w14:paraId="67EFDF62" w14:textId="5D0FB69D" w:rsidR="00AC65AC" w:rsidRPr="00495094" w:rsidRDefault="00AC65AC" w:rsidP="003315ED">
            <w:pPr>
              <w:jc w:val="right"/>
              <w:rPr>
                <w:rFonts w:ascii="Arial" w:hAnsi="Arial" w:cs="Arial"/>
                <w:sz w:val="16"/>
                <w:szCs w:val="16"/>
              </w:rPr>
            </w:pPr>
            <w:r w:rsidRPr="00495094">
              <w:rPr>
                <w:rFonts w:ascii="Arial" w:hAnsi="Arial" w:cs="Arial"/>
                <w:sz w:val="16"/>
                <w:szCs w:val="16"/>
              </w:rPr>
              <w:t xml:space="preserve">             164,555 </w:t>
            </w:r>
          </w:p>
        </w:tc>
        <w:tc>
          <w:tcPr>
            <w:tcW w:w="1350" w:type="dxa"/>
            <w:tcBorders>
              <w:top w:val="single" w:sz="4" w:space="0" w:color="auto"/>
              <w:bottom w:val="double" w:sz="4" w:space="0" w:color="auto"/>
            </w:tcBorders>
            <w:shd w:val="clear" w:color="auto" w:fill="auto"/>
            <w:noWrap/>
            <w:vAlign w:val="bottom"/>
          </w:tcPr>
          <w:p w14:paraId="7859956E" w14:textId="3EDD9D72" w:rsidR="00AC65AC" w:rsidRPr="00495094" w:rsidRDefault="00AC65AC" w:rsidP="003315ED">
            <w:pPr>
              <w:jc w:val="right"/>
              <w:rPr>
                <w:rFonts w:ascii="Arial" w:hAnsi="Arial" w:cs="Arial"/>
                <w:bCs/>
                <w:sz w:val="16"/>
                <w:szCs w:val="16"/>
              </w:rPr>
            </w:pPr>
            <w:r w:rsidRPr="00495094">
              <w:rPr>
                <w:rFonts w:ascii="Arial" w:hAnsi="Arial" w:cs="Arial"/>
                <w:sz w:val="16"/>
                <w:szCs w:val="16"/>
              </w:rPr>
              <w:t xml:space="preserve">           1,400,525 </w:t>
            </w:r>
          </w:p>
        </w:tc>
        <w:tc>
          <w:tcPr>
            <w:tcW w:w="1288" w:type="dxa"/>
            <w:tcBorders>
              <w:top w:val="single" w:sz="4" w:space="0" w:color="auto"/>
              <w:bottom w:val="double" w:sz="4" w:space="0" w:color="auto"/>
            </w:tcBorders>
            <w:shd w:val="clear" w:color="auto" w:fill="auto"/>
            <w:noWrap/>
            <w:vAlign w:val="bottom"/>
          </w:tcPr>
          <w:p w14:paraId="1FC68D35" w14:textId="01C14E25" w:rsidR="00AC65AC" w:rsidRPr="00495094" w:rsidRDefault="00AC65AC" w:rsidP="003315ED">
            <w:pPr>
              <w:jc w:val="right"/>
              <w:rPr>
                <w:rFonts w:ascii="Arial" w:hAnsi="Arial" w:cs="Arial"/>
                <w:bCs/>
                <w:sz w:val="16"/>
                <w:szCs w:val="16"/>
              </w:rPr>
            </w:pPr>
            <w:r w:rsidRPr="00495094">
              <w:rPr>
                <w:rFonts w:ascii="Arial" w:hAnsi="Arial" w:cs="Arial"/>
                <w:sz w:val="16"/>
                <w:szCs w:val="16"/>
              </w:rPr>
              <w:t xml:space="preserve">       154,674,748 </w:t>
            </w:r>
          </w:p>
        </w:tc>
      </w:tr>
    </w:tbl>
    <w:p w14:paraId="68395933" w14:textId="6FDF88B4" w:rsidR="005003AB" w:rsidRPr="00495094" w:rsidRDefault="005003AB" w:rsidP="008D0E35">
      <w:pPr>
        <w:rPr>
          <w:rFonts w:ascii="Arial" w:hAnsi="Arial" w:cs="Arial"/>
          <w:sz w:val="22"/>
          <w:szCs w:val="22"/>
        </w:rPr>
      </w:pPr>
    </w:p>
    <w:p w14:paraId="3A851648" w14:textId="77777777" w:rsidR="005003AB" w:rsidRPr="00495094" w:rsidRDefault="005003AB" w:rsidP="00CD3C8A">
      <w:pPr>
        <w:pStyle w:val="ListParagraph"/>
        <w:tabs>
          <w:tab w:val="clear" w:pos="1526"/>
        </w:tabs>
      </w:pPr>
    </w:p>
    <w:tbl>
      <w:tblPr>
        <w:tblW w:w="9118" w:type="dxa"/>
        <w:jc w:val="center"/>
        <w:tblLayout w:type="fixed"/>
        <w:tblLook w:val="04A0" w:firstRow="1" w:lastRow="0" w:firstColumn="1" w:lastColumn="0" w:noHBand="0" w:noVBand="1"/>
      </w:tblPr>
      <w:tblGrid>
        <w:gridCol w:w="1754"/>
        <w:gridCol w:w="1286"/>
        <w:gridCol w:w="1190"/>
        <w:gridCol w:w="1143"/>
        <w:gridCol w:w="1107"/>
        <w:gridCol w:w="1350"/>
        <w:gridCol w:w="1288"/>
      </w:tblGrid>
      <w:tr w:rsidR="00495094" w:rsidRPr="00495094" w14:paraId="6F4E4A9E" w14:textId="77777777" w:rsidTr="00CD3C8A">
        <w:trPr>
          <w:trHeight w:val="213"/>
          <w:jc w:val="center"/>
        </w:trPr>
        <w:tc>
          <w:tcPr>
            <w:tcW w:w="1754" w:type="dxa"/>
            <w:tcBorders>
              <w:top w:val="single" w:sz="4" w:space="0" w:color="auto"/>
              <w:bottom w:val="single" w:sz="4" w:space="0" w:color="auto"/>
            </w:tcBorders>
            <w:shd w:val="clear" w:color="auto" w:fill="auto"/>
            <w:noWrap/>
            <w:vAlign w:val="center"/>
            <w:hideMark/>
          </w:tcPr>
          <w:p w14:paraId="0534EC5B" w14:textId="77777777" w:rsidR="00576778" w:rsidRPr="00495094" w:rsidRDefault="00576778" w:rsidP="00CD3C8A">
            <w:pPr>
              <w:ind w:left="-98"/>
              <w:jc w:val="center"/>
              <w:rPr>
                <w:rFonts w:ascii="Arial" w:hAnsi="Arial" w:cs="Arial"/>
                <w:b/>
                <w:bCs/>
                <w:sz w:val="16"/>
                <w:szCs w:val="16"/>
              </w:rPr>
            </w:pPr>
          </w:p>
        </w:tc>
        <w:tc>
          <w:tcPr>
            <w:tcW w:w="1286" w:type="dxa"/>
            <w:tcBorders>
              <w:top w:val="single" w:sz="4" w:space="0" w:color="auto"/>
              <w:bottom w:val="single" w:sz="4" w:space="0" w:color="auto"/>
            </w:tcBorders>
            <w:shd w:val="clear" w:color="auto" w:fill="auto"/>
            <w:noWrap/>
            <w:vAlign w:val="center"/>
            <w:hideMark/>
          </w:tcPr>
          <w:p w14:paraId="5A5C1D06" w14:textId="77777777" w:rsidR="00576778" w:rsidRPr="00495094" w:rsidRDefault="00576778" w:rsidP="007F3EB4">
            <w:pPr>
              <w:ind w:right="-97"/>
              <w:jc w:val="center"/>
              <w:rPr>
                <w:rFonts w:ascii="Arial" w:hAnsi="Arial" w:cs="Arial"/>
                <w:b/>
                <w:bCs/>
                <w:sz w:val="16"/>
                <w:szCs w:val="16"/>
              </w:rPr>
            </w:pPr>
            <w:r w:rsidRPr="00495094">
              <w:rPr>
                <w:rFonts w:ascii="Arial" w:hAnsi="Arial" w:cs="Arial"/>
                <w:b/>
                <w:bCs/>
                <w:sz w:val="16"/>
                <w:szCs w:val="16"/>
              </w:rPr>
              <w:t>Land</w:t>
            </w:r>
          </w:p>
        </w:tc>
        <w:tc>
          <w:tcPr>
            <w:tcW w:w="1190" w:type="dxa"/>
            <w:tcBorders>
              <w:top w:val="single" w:sz="4" w:space="0" w:color="auto"/>
              <w:bottom w:val="single" w:sz="4" w:space="0" w:color="auto"/>
            </w:tcBorders>
            <w:shd w:val="clear" w:color="auto" w:fill="auto"/>
            <w:noWrap/>
            <w:vAlign w:val="center"/>
            <w:hideMark/>
          </w:tcPr>
          <w:p w14:paraId="1AD25157" w14:textId="77777777" w:rsidR="00576778" w:rsidRPr="00495094" w:rsidRDefault="00576778">
            <w:pPr>
              <w:ind w:right="-92"/>
              <w:jc w:val="center"/>
              <w:rPr>
                <w:rFonts w:ascii="Arial" w:hAnsi="Arial" w:cs="Arial"/>
                <w:b/>
                <w:bCs/>
                <w:sz w:val="16"/>
                <w:szCs w:val="16"/>
              </w:rPr>
            </w:pPr>
            <w:r w:rsidRPr="00495094">
              <w:rPr>
                <w:rFonts w:ascii="Arial" w:hAnsi="Arial" w:cs="Arial"/>
                <w:b/>
                <w:bCs/>
                <w:sz w:val="16"/>
                <w:szCs w:val="16"/>
              </w:rPr>
              <w:t>Building</w:t>
            </w:r>
          </w:p>
        </w:tc>
        <w:tc>
          <w:tcPr>
            <w:tcW w:w="1143" w:type="dxa"/>
            <w:tcBorders>
              <w:top w:val="single" w:sz="4" w:space="0" w:color="auto"/>
              <w:bottom w:val="single" w:sz="4" w:space="0" w:color="auto"/>
            </w:tcBorders>
            <w:shd w:val="clear" w:color="auto" w:fill="auto"/>
            <w:noWrap/>
            <w:vAlign w:val="center"/>
            <w:hideMark/>
          </w:tcPr>
          <w:p w14:paraId="11872823" w14:textId="33D689BE" w:rsidR="00576778" w:rsidRPr="00495094" w:rsidRDefault="00576778">
            <w:pPr>
              <w:jc w:val="center"/>
              <w:rPr>
                <w:rFonts w:ascii="Arial" w:hAnsi="Arial" w:cs="Arial"/>
                <w:b/>
                <w:bCs/>
                <w:sz w:val="16"/>
                <w:szCs w:val="16"/>
              </w:rPr>
            </w:pPr>
            <w:r w:rsidRPr="00495094">
              <w:rPr>
                <w:rFonts w:ascii="Arial" w:hAnsi="Arial" w:cs="Arial"/>
                <w:b/>
                <w:bCs/>
                <w:sz w:val="16"/>
                <w:szCs w:val="16"/>
              </w:rPr>
              <w:t>Furniture Fixture &amp; Equipment</w:t>
            </w:r>
          </w:p>
        </w:tc>
        <w:tc>
          <w:tcPr>
            <w:tcW w:w="1107" w:type="dxa"/>
            <w:tcBorders>
              <w:top w:val="single" w:sz="4" w:space="0" w:color="auto"/>
              <w:bottom w:val="single" w:sz="4" w:space="0" w:color="auto"/>
            </w:tcBorders>
            <w:shd w:val="clear" w:color="auto" w:fill="auto"/>
            <w:noWrap/>
            <w:vAlign w:val="center"/>
            <w:hideMark/>
          </w:tcPr>
          <w:p w14:paraId="091B7CAB" w14:textId="77777777" w:rsidR="00576778" w:rsidRPr="00495094" w:rsidRDefault="00576778">
            <w:pPr>
              <w:jc w:val="center"/>
              <w:rPr>
                <w:rFonts w:ascii="Arial" w:hAnsi="Arial" w:cs="Arial"/>
                <w:b/>
                <w:bCs/>
                <w:sz w:val="16"/>
                <w:szCs w:val="16"/>
              </w:rPr>
            </w:pPr>
            <w:r w:rsidRPr="00495094">
              <w:rPr>
                <w:rFonts w:ascii="Arial" w:hAnsi="Arial" w:cs="Arial"/>
                <w:b/>
                <w:bCs/>
                <w:sz w:val="16"/>
                <w:szCs w:val="16"/>
              </w:rPr>
              <w:t>Motor Vehicles</w:t>
            </w:r>
          </w:p>
        </w:tc>
        <w:tc>
          <w:tcPr>
            <w:tcW w:w="1350" w:type="dxa"/>
            <w:tcBorders>
              <w:top w:val="single" w:sz="4" w:space="0" w:color="auto"/>
              <w:bottom w:val="single" w:sz="4" w:space="0" w:color="auto"/>
            </w:tcBorders>
            <w:shd w:val="clear" w:color="auto" w:fill="auto"/>
            <w:noWrap/>
            <w:vAlign w:val="center"/>
            <w:hideMark/>
          </w:tcPr>
          <w:p w14:paraId="7E8A5734" w14:textId="486F0608" w:rsidR="00576778" w:rsidRPr="00495094" w:rsidRDefault="00576778">
            <w:pPr>
              <w:jc w:val="center"/>
              <w:rPr>
                <w:rFonts w:ascii="Arial" w:hAnsi="Arial" w:cs="Arial"/>
                <w:b/>
                <w:bCs/>
                <w:sz w:val="16"/>
                <w:szCs w:val="16"/>
              </w:rPr>
            </w:pPr>
            <w:r w:rsidRPr="00495094">
              <w:rPr>
                <w:rFonts w:ascii="Arial" w:hAnsi="Arial" w:cs="Arial"/>
                <w:b/>
                <w:bCs/>
                <w:sz w:val="16"/>
                <w:szCs w:val="16"/>
              </w:rPr>
              <w:t>Computer and Peripherals</w:t>
            </w:r>
          </w:p>
        </w:tc>
        <w:tc>
          <w:tcPr>
            <w:tcW w:w="1288" w:type="dxa"/>
            <w:tcBorders>
              <w:top w:val="single" w:sz="4" w:space="0" w:color="auto"/>
              <w:bottom w:val="single" w:sz="4" w:space="0" w:color="auto"/>
            </w:tcBorders>
            <w:shd w:val="clear" w:color="auto" w:fill="auto"/>
            <w:noWrap/>
            <w:vAlign w:val="center"/>
            <w:hideMark/>
          </w:tcPr>
          <w:p w14:paraId="1C4050BE" w14:textId="664729BC" w:rsidR="00576778" w:rsidRPr="00495094" w:rsidRDefault="00576778">
            <w:pPr>
              <w:ind w:left="-104" w:right="-108"/>
              <w:jc w:val="center"/>
              <w:rPr>
                <w:rFonts w:ascii="Arial" w:hAnsi="Arial" w:cs="Arial"/>
                <w:b/>
                <w:bCs/>
                <w:sz w:val="16"/>
                <w:szCs w:val="16"/>
              </w:rPr>
            </w:pPr>
            <w:r w:rsidRPr="00495094">
              <w:rPr>
                <w:rFonts w:ascii="Arial" w:hAnsi="Arial" w:cs="Arial"/>
                <w:b/>
                <w:bCs/>
                <w:sz w:val="16"/>
                <w:szCs w:val="16"/>
              </w:rPr>
              <w:t>Totals</w:t>
            </w:r>
          </w:p>
        </w:tc>
      </w:tr>
      <w:tr w:rsidR="00495094" w:rsidRPr="00495094" w14:paraId="16B6C79C" w14:textId="77777777" w:rsidTr="003315ED">
        <w:trPr>
          <w:trHeight w:val="324"/>
          <w:jc w:val="center"/>
        </w:trPr>
        <w:tc>
          <w:tcPr>
            <w:tcW w:w="1754" w:type="dxa"/>
            <w:tcBorders>
              <w:top w:val="single" w:sz="4" w:space="0" w:color="auto"/>
            </w:tcBorders>
            <w:shd w:val="clear" w:color="auto" w:fill="auto"/>
            <w:noWrap/>
            <w:vAlign w:val="bottom"/>
            <w:hideMark/>
          </w:tcPr>
          <w:p w14:paraId="0E313E89" w14:textId="77777777" w:rsidR="00814095" w:rsidRPr="00495094" w:rsidRDefault="00814095" w:rsidP="00814095">
            <w:pPr>
              <w:ind w:left="-98"/>
              <w:rPr>
                <w:rFonts w:ascii="Arial" w:hAnsi="Arial" w:cs="Arial"/>
                <w:bCs/>
                <w:sz w:val="16"/>
                <w:szCs w:val="16"/>
              </w:rPr>
            </w:pPr>
            <w:r w:rsidRPr="00495094">
              <w:rPr>
                <w:rFonts w:ascii="Arial" w:hAnsi="Arial" w:cs="Arial"/>
                <w:bCs/>
                <w:sz w:val="16"/>
                <w:szCs w:val="16"/>
              </w:rPr>
              <w:t>Cost</w:t>
            </w:r>
          </w:p>
          <w:p w14:paraId="4E842C9C" w14:textId="621C3546" w:rsidR="00814095" w:rsidRPr="00495094" w:rsidRDefault="00814095" w:rsidP="00814095">
            <w:pPr>
              <w:ind w:left="-98"/>
              <w:jc w:val="left"/>
              <w:rPr>
                <w:rFonts w:ascii="Arial" w:hAnsi="Arial" w:cs="Arial"/>
                <w:bCs/>
                <w:sz w:val="16"/>
                <w:szCs w:val="16"/>
              </w:rPr>
            </w:pPr>
            <w:r w:rsidRPr="00495094">
              <w:rPr>
                <w:rFonts w:ascii="Arial" w:hAnsi="Arial" w:cs="Arial"/>
                <w:bCs/>
                <w:sz w:val="16"/>
                <w:szCs w:val="16"/>
              </w:rPr>
              <w:t>January 1, 2021, as restated</w:t>
            </w:r>
          </w:p>
        </w:tc>
        <w:tc>
          <w:tcPr>
            <w:tcW w:w="1286" w:type="dxa"/>
            <w:tcBorders>
              <w:top w:val="single" w:sz="4" w:space="0" w:color="auto"/>
            </w:tcBorders>
            <w:shd w:val="clear" w:color="auto" w:fill="auto"/>
            <w:noWrap/>
            <w:vAlign w:val="bottom"/>
          </w:tcPr>
          <w:p w14:paraId="3FB02B7F" w14:textId="53692742" w:rsidR="00814095" w:rsidRPr="00495094" w:rsidRDefault="00814095" w:rsidP="00814095">
            <w:pPr>
              <w:jc w:val="right"/>
              <w:rPr>
                <w:rFonts w:ascii="Arial" w:hAnsi="Arial" w:cs="Arial"/>
                <w:sz w:val="16"/>
                <w:szCs w:val="16"/>
                <w:lang w:val="en-PH" w:eastAsia="en-PH"/>
              </w:rPr>
            </w:pPr>
            <w:r w:rsidRPr="00495094">
              <w:rPr>
                <w:rFonts w:ascii="Arial" w:hAnsi="Arial" w:cs="Arial"/>
                <w:sz w:val="16"/>
                <w:szCs w:val="16"/>
                <w:lang w:eastAsia="en-PH"/>
              </w:rPr>
              <w:t xml:space="preserve">131,008,000 </w:t>
            </w:r>
          </w:p>
        </w:tc>
        <w:tc>
          <w:tcPr>
            <w:tcW w:w="1190" w:type="dxa"/>
            <w:tcBorders>
              <w:top w:val="single" w:sz="4" w:space="0" w:color="auto"/>
            </w:tcBorders>
            <w:shd w:val="clear" w:color="auto" w:fill="auto"/>
            <w:noWrap/>
            <w:vAlign w:val="bottom"/>
          </w:tcPr>
          <w:p w14:paraId="64818445" w14:textId="0CF3D34A"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44,116,200 </w:t>
            </w:r>
          </w:p>
        </w:tc>
        <w:tc>
          <w:tcPr>
            <w:tcW w:w="1143" w:type="dxa"/>
            <w:tcBorders>
              <w:top w:val="single" w:sz="4" w:space="0" w:color="auto"/>
            </w:tcBorders>
            <w:shd w:val="clear" w:color="auto" w:fill="auto"/>
            <w:noWrap/>
            <w:vAlign w:val="bottom"/>
          </w:tcPr>
          <w:p w14:paraId="57BC42CD" w14:textId="14C1F5CE"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7,868,359 </w:t>
            </w:r>
          </w:p>
        </w:tc>
        <w:tc>
          <w:tcPr>
            <w:tcW w:w="1107" w:type="dxa"/>
            <w:tcBorders>
              <w:top w:val="single" w:sz="4" w:space="0" w:color="auto"/>
            </w:tcBorders>
            <w:shd w:val="clear" w:color="auto" w:fill="auto"/>
            <w:noWrap/>
            <w:vAlign w:val="bottom"/>
          </w:tcPr>
          <w:p w14:paraId="6C5B965A" w14:textId="3CEB2868"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6,152,198</w:t>
            </w:r>
          </w:p>
        </w:tc>
        <w:tc>
          <w:tcPr>
            <w:tcW w:w="1350" w:type="dxa"/>
            <w:tcBorders>
              <w:top w:val="single" w:sz="4" w:space="0" w:color="auto"/>
            </w:tcBorders>
            <w:shd w:val="clear" w:color="auto" w:fill="auto"/>
            <w:noWrap/>
            <w:vAlign w:val="bottom"/>
          </w:tcPr>
          <w:p w14:paraId="10A3D968" w14:textId="74A7B13E" w:rsidR="00814095" w:rsidRPr="00495094" w:rsidRDefault="00814095" w:rsidP="00814095">
            <w:pPr>
              <w:jc w:val="right"/>
              <w:rPr>
                <w:rFonts w:ascii="Arial" w:hAnsi="Arial" w:cs="Arial"/>
                <w:sz w:val="16"/>
                <w:szCs w:val="16"/>
              </w:rPr>
            </w:pPr>
            <w:r w:rsidRPr="00495094">
              <w:rPr>
                <w:rFonts w:ascii="Arial" w:hAnsi="Arial" w:cs="Arial"/>
                <w:sz w:val="16"/>
                <w:szCs w:val="16"/>
              </w:rPr>
              <w:t>97,215,795</w:t>
            </w:r>
          </w:p>
        </w:tc>
        <w:tc>
          <w:tcPr>
            <w:tcW w:w="1288" w:type="dxa"/>
            <w:tcBorders>
              <w:top w:val="single" w:sz="4" w:space="0" w:color="auto"/>
            </w:tcBorders>
            <w:shd w:val="clear" w:color="auto" w:fill="auto"/>
            <w:noWrap/>
            <w:vAlign w:val="bottom"/>
          </w:tcPr>
          <w:p w14:paraId="78D83508" w14:textId="354F8F6C"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286,360,552</w:t>
            </w:r>
          </w:p>
        </w:tc>
      </w:tr>
      <w:tr w:rsidR="00495094" w:rsidRPr="00495094" w14:paraId="3351FF97" w14:textId="77777777" w:rsidTr="003315ED">
        <w:trPr>
          <w:trHeight w:val="55"/>
          <w:jc w:val="center"/>
        </w:trPr>
        <w:tc>
          <w:tcPr>
            <w:tcW w:w="1754" w:type="dxa"/>
            <w:shd w:val="clear" w:color="auto" w:fill="auto"/>
            <w:noWrap/>
            <w:vAlign w:val="bottom"/>
          </w:tcPr>
          <w:p w14:paraId="6C632BFB" w14:textId="25E64213" w:rsidR="00814095" w:rsidRPr="00495094" w:rsidRDefault="00814095" w:rsidP="00814095">
            <w:pPr>
              <w:jc w:val="left"/>
              <w:rPr>
                <w:rFonts w:ascii="Arial" w:hAnsi="Arial" w:cs="Arial"/>
                <w:sz w:val="16"/>
                <w:szCs w:val="16"/>
              </w:rPr>
            </w:pPr>
            <w:r w:rsidRPr="00495094">
              <w:rPr>
                <w:rFonts w:ascii="Arial" w:hAnsi="Arial" w:cs="Arial"/>
                <w:sz w:val="16"/>
                <w:szCs w:val="16"/>
              </w:rPr>
              <w:t>Additions</w:t>
            </w:r>
          </w:p>
        </w:tc>
        <w:tc>
          <w:tcPr>
            <w:tcW w:w="1286" w:type="dxa"/>
            <w:shd w:val="clear" w:color="auto" w:fill="auto"/>
            <w:noWrap/>
            <w:vAlign w:val="bottom"/>
          </w:tcPr>
          <w:p w14:paraId="339B36FE" w14:textId="0B896743"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0</w:t>
            </w:r>
          </w:p>
        </w:tc>
        <w:tc>
          <w:tcPr>
            <w:tcW w:w="1190" w:type="dxa"/>
            <w:shd w:val="clear" w:color="auto" w:fill="auto"/>
            <w:noWrap/>
            <w:vAlign w:val="bottom"/>
          </w:tcPr>
          <w:p w14:paraId="64997D05" w14:textId="2A8695D1"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4,083,641</w:t>
            </w:r>
          </w:p>
        </w:tc>
        <w:tc>
          <w:tcPr>
            <w:tcW w:w="1143" w:type="dxa"/>
            <w:shd w:val="clear" w:color="auto" w:fill="auto"/>
            <w:noWrap/>
            <w:vAlign w:val="bottom"/>
          </w:tcPr>
          <w:p w14:paraId="6F5E2558" w14:textId="703E8FA9"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24,000</w:t>
            </w:r>
          </w:p>
        </w:tc>
        <w:tc>
          <w:tcPr>
            <w:tcW w:w="1107" w:type="dxa"/>
            <w:shd w:val="clear" w:color="auto" w:fill="auto"/>
            <w:noWrap/>
            <w:vAlign w:val="bottom"/>
          </w:tcPr>
          <w:p w14:paraId="09CB9CD4" w14:textId="296994E3"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0</w:t>
            </w:r>
          </w:p>
        </w:tc>
        <w:tc>
          <w:tcPr>
            <w:tcW w:w="1350" w:type="dxa"/>
            <w:shd w:val="clear" w:color="auto" w:fill="auto"/>
            <w:noWrap/>
            <w:vAlign w:val="bottom"/>
          </w:tcPr>
          <w:p w14:paraId="634C2E3B" w14:textId="4E5CA8A0"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271,796  </w:t>
            </w:r>
          </w:p>
        </w:tc>
        <w:tc>
          <w:tcPr>
            <w:tcW w:w="1288" w:type="dxa"/>
            <w:shd w:val="clear" w:color="auto" w:fill="auto"/>
            <w:noWrap/>
            <w:vAlign w:val="bottom"/>
          </w:tcPr>
          <w:p w14:paraId="7C9676A1" w14:textId="35F4412C"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4,379,437</w:t>
            </w:r>
          </w:p>
        </w:tc>
      </w:tr>
      <w:tr w:rsidR="00495094" w:rsidRPr="00495094" w14:paraId="54D844DC" w14:textId="77777777" w:rsidTr="003315ED">
        <w:trPr>
          <w:trHeight w:val="130"/>
          <w:jc w:val="center"/>
        </w:trPr>
        <w:tc>
          <w:tcPr>
            <w:tcW w:w="1754" w:type="dxa"/>
            <w:tcBorders>
              <w:top w:val="single" w:sz="4" w:space="0" w:color="auto"/>
            </w:tcBorders>
            <w:shd w:val="clear" w:color="auto" w:fill="auto"/>
            <w:noWrap/>
            <w:vAlign w:val="bottom"/>
            <w:hideMark/>
          </w:tcPr>
          <w:p w14:paraId="7E595DE6" w14:textId="144156D0" w:rsidR="00814095" w:rsidRPr="00495094" w:rsidRDefault="00814095" w:rsidP="00814095">
            <w:pPr>
              <w:ind w:left="-97"/>
              <w:rPr>
                <w:rFonts w:ascii="Arial" w:hAnsi="Arial" w:cs="Arial"/>
                <w:sz w:val="16"/>
                <w:szCs w:val="16"/>
              </w:rPr>
            </w:pPr>
            <w:r w:rsidRPr="00495094">
              <w:rPr>
                <w:rFonts w:ascii="Arial" w:hAnsi="Arial" w:cs="Arial"/>
                <w:sz w:val="16"/>
                <w:szCs w:val="16"/>
              </w:rPr>
              <w:t>December 31, 2021, as restated</w:t>
            </w:r>
          </w:p>
        </w:tc>
        <w:tc>
          <w:tcPr>
            <w:tcW w:w="1286" w:type="dxa"/>
            <w:tcBorders>
              <w:top w:val="single" w:sz="4" w:space="0" w:color="auto"/>
            </w:tcBorders>
            <w:shd w:val="clear" w:color="auto" w:fill="auto"/>
            <w:noWrap/>
            <w:vAlign w:val="bottom"/>
          </w:tcPr>
          <w:p w14:paraId="45743E96" w14:textId="7FC4547D"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131,008,000 </w:t>
            </w:r>
          </w:p>
        </w:tc>
        <w:tc>
          <w:tcPr>
            <w:tcW w:w="1190" w:type="dxa"/>
            <w:tcBorders>
              <w:top w:val="single" w:sz="4" w:space="0" w:color="auto"/>
            </w:tcBorders>
            <w:shd w:val="clear" w:color="auto" w:fill="auto"/>
            <w:noWrap/>
            <w:vAlign w:val="bottom"/>
          </w:tcPr>
          <w:p w14:paraId="1791C80D" w14:textId="1C8B6548"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48,199,841 </w:t>
            </w:r>
          </w:p>
        </w:tc>
        <w:tc>
          <w:tcPr>
            <w:tcW w:w="1143" w:type="dxa"/>
            <w:tcBorders>
              <w:top w:val="single" w:sz="4" w:space="0" w:color="auto"/>
            </w:tcBorders>
            <w:shd w:val="clear" w:color="auto" w:fill="auto"/>
            <w:noWrap/>
            <w:vAlign w:val="bottom"/>
          </w:tcPr>
          <w:p w14:paraId="4EB4601B" w14:textId="1FFF0ED7"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7,892,359 </w:t>
            </w:r>
          </w:p>
        </w:tc>
        <w:tc>
          <w:tcPr>
            <w:tcW w:w="1107" w:type="dxa"/>
            <w:tcBorders>
              <w:top w:val="single" w:sz="4" w:space="0" w:color="auto"/>
            </w:tcBorders>
            <w:shd w:val="clear" w:color="auto" w:fill="auto"/>
            <w:noWrap/>
            <w:vAlign w:val="bottom"/>
          </w:tcPr>
          <w:p w14:paraId="78D7CD4A" w14:textId="07C87672"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6,152,198  </w:t>
            </w:r>
          </w:p>
        </w:tc>
        <w:tc>
          <w:tcPr>
            <w:tcW w:w="1350" w:type="dxa"/>
            <w:tcBorders>
              <w:top w:val="single" w:sz="4" w:space="0" w:color="auto"/>
            </w:tcBorders>
            <w:shd w:val="clear" w:color="auto" w:fill="auto"/>
            <w:noWrap/>
            <w:vAlign w:val="bottom"/>
          </w:tcPr>
          <w:p w14:paraId="09EB75CA" w14:textId="07052110"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97,487,591 </w:t>
            </w:r>
          </w:p>
        </w:tc>
        <w:tc>
          <w:tcPr>
            <w:tcW w:w="1288" w:type="dxa"/>
            <w:tcBorders>
              <w:top w:val="single" w:sz="4" w:space="0" w:color="auto"/>
            </w:tcBorders>
            <w:shd w:val="clear" w:color="auto" w:fill="auto"/>
            <w:noWrap/>
            <w:vAlign w:val="bottom"/>
          </w:tcPr>
          <w:p w14:paraId="29127B0F" w14:textId="19857CDC"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290,739,989 </w:t>
            </w:r>
          </w:p>
        </w:tc>
      </w:tr>
      <w:tr w:rsidR="00495094" w:rsidRPr="00495094" w14:paraId="112E554A" w14:textId="77777777" w:rsidTr="009375CB">
        <w:trPr>
          <w:trHeight w:val="130"/>
          <w:jc w:val="center"/>
        </w:trPr>
        <w:tc>
          <w:tcPr>
            <w:tcW w:w="1754" w:type="dxa"/>
            <w:tcBorders>
              <w:top w:val="single" w:sz="4" w:space="0" w:color="auto"/>
            </w:tcBorders>
            <w:shd w:val="clear" w:color="auto" w:fill="auto"/>
            <w:noWrap/>
            <w:vAlign w:val="bottom"/>
          </w:tcPr>
          <w:p w14:paraId="127AA125" w14:textId="77777777" w:rsidR="00814095" w:rsidRPr="00495094" w:rsidDel="007F3EB4" w:rsidRDefault="00814095" w:rsidP="00814095">
            <w:pPr>
              <w:ind w:left="-97"/>
              <w:rPr>
                <w:rFonts w:ascii="Arial" w:hAnsi="Arial" w:cs="Arial"/>
                <w:sz w:val="16"/>
                <w:szCs w:val="16"/>
              </w:rPr>
            </w:pPr>
          </w:p>
        </w:tc>
        <w:tc>
          <w:tcPr>
            <w:tcW w:w="1286" w:type="dxa"/>
            <w:tcBorders>
              <w:top w:val="single" w:sz="4" w:space="0" w:color="auto"/>
            </w:tcBorders>
            <w:shd w:val="clear" w:color="auto" w:fill="auto"/>
            <w:noWrap/>
            <w:vAlign w:val="bottom"/>
          </w:tcPr>
          <w:p w14:paraId="0584BD6B" w14:textId="77777777" w:rsidR="00814095" w:rsidRPr="00495094" w:rsidRDefault="00814095" w:rsidP="00814095">
            <w:pPr>
              <w:jc w:val="right"/>
              <w:rPr>
                <w:rFonts w:ascii="Arial" w:hAnsi="Arial" w:cs="Arial"/>
                <w:sz w:val="16"/>
                <w:szCs w:val="16"/>
              </w:rPr>
            </w:pPr>
          </w:p>
        </w:tc>
        <w:tc>
          <w:tcPr>
            <w:tcW w:w="1190" w:type="dxa"/>
            <w:tcBorders>
              <w:top w:val="single" w:sz="4" w:space="0" w:color="auto"/>
            </w:tcBorders>
            <w:shd w:val="clear" w:color="auto" w:fill="auto"/>
            <w:noWrap/>
            <w:vAlign w:val="bottom"/>
          </w:tcPr>
          <w:p w14:paraId="50637575" w14:textId="77777777" w:rsidR="00814095" w:rsidRPr="00495094" w:rsidRDefault="00814095" w:rsidP="00814095">
            <w:pPr>
              <w:jc w:val="right"/>
              <w:rPr>
                <w:rFonts w:ascii="Arial" w:hAnsi="Arial" w:cs="Arial"/>
                <w:sz w:val="16"/>
                <w:szCs w:val="16"/>
              </w:rPr>
            </w:pPr>
          </w:p>
        </w:tc>
        <w:tc>
          <w:tcPr>
            <w:tcW w:w="1143" w:type="dxa"/>
            <w:tcBorders>
              <w:top w:val="single" w:sz="4" w:space="0" w:color="auto"/>
            </w:tcBorders>
            <w:shd w:val="clear" w:color="auto" w:fill="auto"/>
            <w:noWrap/>
            <w:vAlign w:val="bottom"/>
          </w:tcPr>
          <w:p w14:paraId="129DDD34" w14:textId="77777777" w:rsidR="00814095" w:rsidRPr="00495094" w:rsidRDefault="00814095" w:rsidP="00814095">
            <w:pPr>
              <w:jc w:val="right"/>
              <w:rPr>
                <w:rFonts w:ascii="Arial" w:hAnsi="Arial" w:cs="Arial"/>
                <w:sz w:val="16"/>
                <w:szCs w:val="16"/>
              </w:rPr>
            </w:pPr>
          </w:p>
        </w:tc>
        <w:tc>
          <w:tcPr>
            <w:tcW w:w="1107" w:type="dxa"/>
            <w:tcBorders>
              <w:top w:val="single" w:sz="4" w:space="0" w:color="auto"/>
            </w:tcBorders>
            <w:shd w:val="clear" w:color="auto" w:fill="auto"/>
            <w:noWrap/>
            <w:vAlign w:val="bottom"/>
          </w:tcPr>
          <w:p w14:paraId="4D3BC33F" w14:textId="77777777" w:rsidR="00814095" w:rsidRPr="00495094" w:rsidRDefault="00814095" w:rsidP="00814095">
            <w:pPr>
              <w:jc w:val="right"/>
              <w:rPr>
                <w:rFonts w:ascii="Arial" w:hAnsi="Arial" w:cs="Arial"/>
                <w:sz w:val="16"/>
                <w:szCs w:val="16"/>
              </w:rPr>
            </w:pPr>
          </w:p>
        </w:tc>
        <w:tc>
          <w:tcPr>
            <w:tcW w:w="1350" w:type="dxa"/>
            <w:tcBorders>
              <w:top w:val="single" w:sz="4" w:space="0" w:color="auto"/>
            </w:tcBorders>
            <w:shd w:val="clear" w:color="auto" w:fill="auto"/>
            <w:noWrap/>
            <w:vAlign w:val="bottom"/>
          </w:tcPr>
          <w:p w14:paraId="08BE19F0" w14:textId="77777777" w:rsidR="00814095" w:rsidRPr="00495094" w:rsidRDefault="00814095" w:rsidP="00814095">
            <w:pPr>
              <w:jc w:val="right"/>
              <w:rPr>
                <w:rFonts w:ascii="Arial" w:hAnsi="Arial" w:cs="Arial"/>
                <w:sz w:val="16"/>
                <w:szCs w:val="16"/>
              </w:rPr>
            </w:pPr>
          </w:p>
        </w:tc>
        <w:tc>
          <w:tcPr>
            <w:tcW w:w="1288" w:type="dxa"/>
            <w:tcBorders>
              <w:top w:val="single" w:sz="4" w:space="0" w:color="auto"/>
            </w:tcBorders>
            <w:shd w:val="clear" w:color="auto" w:fill="auto"/>
            <w:noWrap/>
            <w:vAlign w:val="bottom"/>
          </w:tcPr>
          <w:p w14:paraId="7FF5BBB0" w14:textId="77777777" w:rsidR="00814095" w:rsidRPr="00495094" w:rsidRDefault="00814095" w:rsidP="00814095">
            <w:pPr>
              <w:jc w:val="right"/>
              <w:rPr>
                <w:rFonts w:ascii="Arial" w:hAnsi="Arial" w:cs="Arial"/>
                <w:sz w:val="16"/>
                <w:szCs w:val="16"/>
              </w:rPr>
            </w:pPr>
          </w:p>
        </w:tc>
      </w:tr>
      <w:tr w:rsidR="00495094" w:rsidRPr="00495094" w14:paraId="15D615A9" w14:textId="77777777" w:rsidTr="007A10F3">
        <w:trPr>
          <w:trHeight w:val="144"/>
          <w:jc w:val="center"/>
        </w:trPr>
        <w:tc>
          <w:tcPr>
            <w:tcW w:w="4230" w:type="dxa"/>
            <w:gridSpan w:val="3"/>
            <w:shd w:val="clear" w:color="auto" w:fill="auto"/>
            <w:noWrap/>
          </w:tcPr>
          <w:p w14:paraId="2AE0842E" w14:textId="306428FC" w:rsidR="00814095" w:rsidRPr="00495094" w:rsidRDefault="00814095" w:rsidP="00814095">
            <w:pPr>
              <w:ind w:left="-109"/>
              <w:jc w:val="left"/>
              <w:rPr>
                <w:rFonts w:ascii="Arial" w:hAnsi="Arial" w:cs="Arial"/>
                <w:sz w:val="16"/>
                <w:szCs w:val="16"/>
              </w:rPr>
            </w:pPr>
            <w:r w:rsidRPr="00495094">
              <w:rPr>
                <w:rFonts w:ascii="Arial" w:hAnsi="Arial" w:cs="Arial"/>
                <w:bCs/>
                <w:sz w:val="16"/>
                <w:szCs w:val="22"/>
              </w:rPr>
              <w:t>Accumulated</w:t>
            </w:r>
            <w:r w:rsidRPr="00495094">
              <w:rPr>
                <w:rFonts w:ascii="Arial" w:hAnsi="Arial" w:cs="Arial"/>
                <w:bCs/>
                <w:sz w:val="16"/>
                <w:szCs w:val="16"/>
              </w:rPr>
              <w:t xml:space="preserve"> Depreciation/Allowance for Impairment </w:t>
            </w:r>
          </w:p>
        </w:tc>
        <w:tc>
          <w:tcPr>
            <w:tcW w:w="1143" w:type="dxa"/>
            <w:shd w:val="clear" w:color="auto" w:fill="auto"/>
            <w:noWrap/>
          </w:tcPr>
          <w:p w14:paraId="023BB135" w14:textId="1EAAF2EC" w:rsidR="00814095" w:rsidRPr="00495094" w:rsidRDefault="00814095" w:rsidP="00814095">
            <w:pPr>
              <w:jc w:val="right"/>
              <w:rPr>
                <w:rFonts w:ascii="Arial" w:hAnsi="Arial" w:cs="Arial"/>
                <w:sz w:val="16"/>
                <w:szCs w:val="16"/>
              </w:rPr>
            </w:pPr>
          </w:p>
        </w:tc>
        <w:tc>
          <w:tcPr>
            <w:tcW w:w="1107" w:type="dxa"/>
            <w:shd w:val="clear" w:color="auto" w:fill="auto"/>
            <w:noWrap/>
            <w:vAlign w:val="bottom"/>
          </w:tcPr>
          <w:p w14:paraId="4709DF39" w14:textId="77777777" w:rsidR="00814095" w:rsidRPr="00495094" w:rsidRDefault="00814095" w:rsidP="00814095">
            <w:pPr>
              <w:jc w:val="right"/>
              <w:rPr>
                <w:rFonts w:ascii="Arial" w:hAnsi="Arial" w:cs="Arial"/>
                <w:sz w:val="16"/>
                <w:szCs w:val="16"/>
              </w:rPr>
            </w:pPr>
          </w:p>
        </w:tc>
        <w:tc>
          <w:tcPr>
            <w:tcW w:w="1350" w:type="dxa"/>
            <w:shd w:val="clear" w:color="auto" w:fill="auto"/>
            <w:noWrap/>
            <w:vAlign w:val="bottom"/>
          </w:tcPr>
          <w:p w14:paraId="60C5648D" w14:textId="77777777" w:rsidR="00814095" w:rsidRPr="00495094" w:rsidRDefault="00814095" w:rsidP="00814095">
            <w:pPr>
              <w:jc w:val="right"/>
              <w:rPr>
                <w:rFonts w:ascii="Arial" w:hAnsi="Arial" w:cs="Arial"/>
                <w:sz w:val="16"/>
                <w:szCs w:val="16"/>
              </w:rPr>
            </w:pPr>
          </w:p>
        </w:tc>
        <w:tc>
          <w:tcPr>
            <w:tcW w:w="1288" w:type="dxa"/>
            <w:shd w:val="clear" w:color="auto" w:fill="auto"/>
            <w:noWrap/>
            <w:vAlign w:val="bottom"/>
          </w:tcPr>
          <w:p w14:paraId="0FAF53B6" w14:textId="77777777" w:rsidR="00814095" w:rsidRPr="00495094" w:rsidRDefault="00814095" w:rsidP="00814095">
            <w:pPr>
              <w:jc w:val="right"/>
              <w:rPr>
                <w:rFonts w:ascii="Arial" w:hAnsi="Arial" w:cs="Arial"/>
                <w:sz w:val="16"/>
                <w:szCs w:val="16"/>
              </w:rPr>
            </w:pPr>
          </w:p>
        </w:tc>
      </w:tr>
      <w:tr w:rsidR="00495094" w:rsidRPr="00495094" w14:paraId="6F78E067" w14:textId="77777777" w:rsidTr="003315ED">
        <w:trPr>
          <w:trHeight w:val="106"/>
          <w:jc w:val="center"/>
        </w:trPr>
        <w:tc>
          <w:tcPr>
            <w:tcW w:w="1754" w:type="dxa"/>
            <w:shd w:val="clear" w:color="auto" w:fill="auto"/>
            <w:noWrap/>
            <w:vAlign w:val="bottom"/>
          </w:tcPr>
          <w:p w14:paraId="7C3773A2" w14:textId="534105F6" w:rsidR="00814095" w:rsidRPr="00495094" w:rsidRDefault="00814095" w:rsidP="00814095">
            <w:pPr>
              <w:ind w:left="-97"/>
              <w:jc w:val="left"/>
              <w:rPr>
                <w:rFonts w:ascii="Arial" w:hAnsi="Arial" w:cs="Arial"/>
                <w:sz w:val="16"/>
                <w:szCs w:val="16"/>
              </w:rPr>
            </w:pPr>
            <w:r w:rsidRPr="00495094">
              <w:rPr>
                <w:rFonts w:ascii="Arial" w:hAnsi="Arial" w:cs="Arial"/>
                <w:bCs/>
                <w:sz w:val="16"/>
                <w:szCs w:val="16"/>
              </w:rPr>
              <w:t>January 1, 2021, as restated</w:t>
            </w:r>
          </w:p>
        </w:tc>
        <w:tc>
          <w:tcPr>
            <w:tcW w:w="1286" w:type="dxa"/>
            <w:shd w:val="clear" w:color="auto" w:fill="auto"/>
            <w:noWrap/>
            <w:vAlign w:val="bottom"/>
          </w:tcPr>
          <w:p w14:paraId="765C1B03" w14:textId="124E1432" w:rsidR="00814095" w:rsidRPr="00495094" w:rsidRDefault="00814095" w:rsidP="00814095">
            <w:pPr>
              <w:jc w:val="right"/>
              <w:rPr>
                <w:rFonts w:ascii="Arial" w:hAnsi="Arial" w:cs="Arial"/>
                <w:sz w:val="16"/>
                <w:szCs w:val="16"/>
              </w:rPr>
            </w:pPr>
            <w:r w:rsidRPr="00495094">
              <w:rPr>
                <w:rFonts w:ascii="Arial" w:hAnsi="Arial" w:cs="Arial"/>
                <w:sz w:val="16"/>
                <w:szCs w:val="16"/>
              </w:rPr>
              <w:t>0</w:t>
            </w:r>
          </w:p>
        </w:tc>
        <w:tc>
          <w:tcPr>
            <w:tcW w:w="1190" w:type="dxa"/>
            <w:shd w:val="clear" w:color="auto" w:fill="auto"/>
            <w:noWrap/>
            <w:vAlign w:val="bottom"/>
          </w:tcPr>
          <w:p w14:paraId="46854A62" w14:textId="638D66D2"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21,347,711 </w:t>
            </w:r>
          </w:p>
        </w:tc>
        <w:tc>
          <w:tcPr>
            <w:tcW w:w="1143" w:type="dxa"/>
            <w:shd w:val="clear" w:color="auto" w:fill="auto"/>
            <w:noWrap/>
            <w:vAlign w:val="bottom"/>
          </w:tcPr>
          <w:p w14:paraId="02837B08" w14:textId="3BC0C913"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7,036,236 </w:t>
            </w:r>
          </w:p>
        </w:tc>
        <w:tc>
          <w:tcPr>
            <w:tcW w:w="1107" w:type="dxa"/>
            <w:shd w:val="clear" w:color="auto" w:fill="auto"/>
            <w:noWrap/>
            <w:vAlign w:val="bottom"/>
          </w:tcPr>
          <w:p w14:paraId="091384D4" w14:textId="7BEBD018"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5,977,600 </w:t>
            </w:r>
          </w:p>
        </w:tc>
        <w:tc>
          <w:tcPr>
            <w:tcW w:w="1350" w:type="dxa"/>
            <w:shd w:val="clear" w:color="auto" w:fill="auto"/>
            <w:noWrap/>
            <w:vAlign w:val="bottom"/>
          </w:tcPr>
          <w:p w14:paraId="4CDB5EDB" w14:textId="7BC8741E"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94,216,673 </w:t>
            </w:r>
          </w:p>
        </w:tc>
        <w:tc>
          <w:tcPr>
            <w:tcW w:w="1288" w:type="dxa"/>
            <w:shd w:val="clear" w:color="auto" w:fill="auto"/>
            <w:noWrap/>
            <w:vAlign w:val="bottom"/>
          </w:tcPr>
          <w:p w14:paraId="16D2DDFB" w14:textId="3FB7F75F"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128,578,220 </w:t>
            </w:r>
          </w:p>
        </w:tc>
      </w:tr>
      <w:tr w:rsidR="00495094" w:rsidRPr="00495094" w14:paraId="686BB2ED" w14:textId="77777777" w:rsidTr="003315ED">
        <w:trPr>
          <w:trHeight w:val="106"/>
          <w:jc w:val="center"/>
        </w:trPr>
        <w:tc>
          <w:tcPr>
            <w:tcW w:w="1754" w:type="dxa"/>
            <w:shd w:val="clear" w:color="auto" w:fill="auto"/>
            <w:noWrap/>
            <w:vAlign w:val="bottom"/>
          </w:tcPr>
          <w:p w14:paraId="0B45B2ED" w14:textId="4FE3F368" w:rsidR="00814095" w:rsidRPr="00495094" w:rsidRDefault="00814095" w:rsidP="00814095">
            <w:pPr>
              <w:rPr>
                <w:rFonts w:ascii="Arial" w:hAnsi="Arial" w:cs="Arial"/>
                <w:sz w:val="16"/>
                <w:szCs w:val="16"/>
              </w:rPr>
            </w:pPr>
            <w:r w:rsidRPr="00495094">
              <w:rPr>
                <w:rFonts w:ascii="Arial" w:hAnsi="Arial" w:cs="Arial"/>
                <w:sz w:val="16"/>
                <w:szCs w:val="16"/>
              </w:rPr>
              <w:t>Provisions</w:t>
            </w:r>
          </w:p>
        </w:tc>
        <w:tc>
          <w:tcPr>
            <w:tcW w:w="1286" w:type="dxa"/>
            <w:shd w:val="clear" w:color="auto" w:fill="auto"/>
            <w:noWrap/>
            <w:vAlign w:val="bottom"/>
          </w:tcPr>
          <w:p w14:paraId="0BEDE9F8" w14:textId="1C79CA6E" w:rsidR="00814095" w:rsidRPr="00495094" w:rsidRDefault="00814095" w:rsidP="00814095">
            <w:pPr>
              <w:jc w:val="right"/>
              <w:rPr>
                <w:rFonts w:ascii="Arial" w:hAnsi="Arial" w:cs="Arial"/>
                <w:sz w:val="16"/>
                <w:szCs w:val="16"/>
              </w:rPr>
            </w:pPr>
            <w:r w:rsidRPr="00495094">
              <w:rPr>
                <w:rFonts w:ascii="Arial" w:hAnsi="Arial" w:cs="Arial"/>
                <w:sz w:val="16"/>
                <w:szCs w:val="16"/>
              </w:rPr>
              <w:t>0</w:t>
            </w:r>
          </w:p>
        </w:tc>
        <w:tc>
          <w:tcPr>
            <w:tcW w:w="1190" w:type="dxa"/>
            <w:shd w:val="clear" w:color="auto" w:fill="auto"/>
            <w:noWrap/>
            <w:vAlign w:val="bottom"/>
          </w:tcPr>
          <w:p w14:paraId="41358797" w14:textId="44F7ACEC"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2,583,718 </w:t>
            </w:r>
          </w:p>
        </w:tc>
        <w:tc>
          <w:tcPr>
            <w:tcW w:w="1143" w:type="dxa"/>
            <w:shd w:val="clear" w:color="auto" w:fill="auto"/>
            <w:noWrap/>
            <w:vAlign w:val="bottom"/>
          </w:tcPr>
          <w:p w14:paraId="3D9F840C" w14:textId="76011A11" w:rsidR="00814095" w:rsidRPr="00495094" w:rsidRDefault="00814095" w:rsidP="00814095">
            <w:pPr>
              <w:ind w:left="-174"/>
              <w:jc w:val="right"/>
              <w:rPr>
                <w:rFonts w:ascii="Arial" w:hAnsi="Arial" w:cs="Arial"/>
                <w:sz w:val="16"/>
                <w:szCs w:val="16"/>
                <w:lang w:val="en-PH" w:eastAsia="en-PH"/>
              </w:rPr>
            </w:pPr>
            <w:r w:rsidRPr="00495094">
              <w:rPr>
                <w:rFonts w:ascii="Arial" w:hAnsi="Arial" w:cs="Arial"/>
                <w:sz w:val="16"/>
                <w:szCs w:val="16"/>
                <w:lang w:eastAsia="en-PH"/>
              </w:rPr>
              <w:t xml:space="preserve">      287,522 </w:t>
            </w:r>
          </w:p>
        </w:tc>
        <w:tc>
          <w:tcPr>
            <w:tcW w:w="1107" w:type="dxa"/>
            <w:shd w:val="clear" w:color="auto" w:fill="auto"/>
            <w:noWrap/>
            <w:vAlign w:val="bottom"/>
          </w:tcPr>
          <w:p w14:paraId="2B99922F" w14:textId="19317CAA"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(75,960)</w:t>
            </w:r>
          </w:p>
        </w:tc>
        <w:tc>
          <w:tcPr>
            <w:tcW w:w="1350" w:type="dxa"/>
            <w:shd w:val="clear" w:color="auto" w:fill="auto"/>
            <w:noWrap/>
            <w:vAlign w:val="bottom"/>
          </w:tcPr>
          <w:p w14:paraId="3D89D60A" w14:textId="77F159FD"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978,626 </w:t>
            </w:r>
          </w:p>
        </w:tc>
        <w:tc>
          <w:tcPr>
            <w:tcW w:w="1288" w:type="dxa"/>
            <w:shd w:val="clear" w:color="auto" w:fill="auto"/>
            <w:noWrap/>
            <w:vAlign w:val="bottom"/>
          </w:tcPr>
          <w:p w14:paraId="6BE5039D" w14:textId="4F269A58"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3,773,906 </w:t>
            </w:r>
          </w:p>
        </w:tc>
      </w:tr>
      <w:tr w:rsidR="00495094" w:rsidRPr="00495094" w14:paraId="5C671122" w14:textId="77777777" w:rsidTr="003315ED">
        <w:trPr>
          <w:trHeight w:val="106"/>
          <w:jc w:val="center"/>
        </w:trPr>
        <w:tc>
          <w:tcPr>
            <w:tcW w:w="1754" w:type="dxa"/>
            <w:shd w:val="clear" w:color="auto" w:fill="auto"/>
            <w:noWrap/>
            <w:vAlign w:val="bottom"/>
          </w:tcPr>
          <w:p w14:paraId="212D8EB6" w14:textId="4A0ED3C8" w:rsidR="00814095" w:rsidRPr="00495094" w:rsidRDefault="00814095" w:rsidP="00814095">
            <w:pPr>
              <w:rPr>
                <w:rFonts w:ascii="Arial" w:hAnsi="Arial" w:cs="Arial"/>
                <w:sz w:val="16"/>
                <w:szCs w:val="16"/>
              </w:rPr>
            </w:pPr>
            <w:r w:rsidRPr="00495094">
              <w:rPr>
                <w:rFonts w:ascii="Arial" w:hAnsi="Arial" w:cs="Arial"/>
                <w:sz w:val="16"/>
                <w:szCs w:val="16"/>
              </w:rPr>
              <w:t>Impairment loss</w:t>
            </w:r>
          </w:p>
        </w:tc>
        <w:tc>
          <w:tcPr>
            <w:tcW w:w="1286" w:type="dxa"/>
            <w:shd w:val="clear" w:color="auto" w:fill="auto"/>
            <w:noWrap/>
            <w:vAlign w:val="bottom"/>
          </w:tcPr>
          <w:p w14:paraId="6BC8A685" w14:textId="77AE983B" w:rsidR="00814095" w:rsidRPr="00495094" w:rsidRDefault="00814095" w:rsidP="00814095">
            <w:pPr>
              <w:jc w:val="right"/>
              <w:rPr>
                <w:rFonts w:ascii="Arial" w:hAnsi="Arial" w:cs="Arial"/>
                <w:sz w:val="16"/>
                <w:szCs w:val="16"/>
              </w:rPr>
            </w:pPr>
            <w:r w:rsidRPr="00495094">
              <w:rPr>
                <w:rFonts w:ascii="Arial" w:hAnsi="Arial" w:cs="Arial"/>
                <w:sz w:val="16"/>
                <w:szCs w:val="16"/>
              </w:rPr>
              <w:t>0</w:t>
            </w:r>
          </w:p>
        </w:tc>
        <w:tc>
          <w:tcPr>
            <w:tcW w:w="1190" w:type="dxa"/>
            <w:shd w:val="clear" w:color="auto" w:fill="auto"/>
            <w:noWrap/>
            <w:vAlign w:val="bottom"/>
          </w:tcPr>
          <w:p w14:paraId="0BA92452" w14:textId="76AA8D9E"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0</w:t>
            </w:r>
          </w:p>
        </w:tc>
        <w:tc>
          <w:tcPr>
            <w:tcW w:w="1143" w:type="dxa"/>
            <w:shd w:val="clear" w:color="auto" w:fill="auto"/>
            <w:noWrap/>
            <w:vAlign w:val="bottom"/>
          </w:tcPr>
          <w:p w14:paraId="72E315C2" w14:textId="2EF34643" w:rsidR="00814095" w:rsidRPr="00495094" w:rsidRDefault="00814095" w:rsidP="00814095">
            <w:pPr>
              <w:ind w:left="-174"/>
              <w:jc w:val="right"/>
              <w:rPr>
                <w:rFonts w:ascii="Arial" w:hAnsi="Arial" w:cs="Arial"/>
                <w:sz w:val="16"/>
                <w:szCs w:val="16"/>
              </w:rPr>
            </w:pPr>
            <w:r w:rsidRPr="00495094">
              <w:rPr>
                <w:rFonts w:ascii="Arial" w:hAnsi="Arial" w:cs="Arial"/>
                <w:sz w:val="16"/>
                <w:szCs w:val="16"/>
                <w:lang w:eastAsia="en-PH"/>
              </w:rPr>
              <w:t xml:space="preserve">           2,018</w:t>
            </w:r>
          </w:p>
        </w:tc>
        <w:tc>
          <w:tcPr>
            <w:tcW w:w="1107" w:type="dxa"/>
            <w:shd w:val="clear" w:color="auto" w:fill="auto"/>
            <w:noWrap/>
            <w:vAlign w:val="bottom"/>
          </w:tcPr>
          <w:p w14:paraId="0CC6A79E" w14:textId="0A11DEB5"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0</w:t>
            </w:r>
          </w:p>
        </w:tc>
        <w:tc>
          <w:tcPr>
            <w:tcW w:w="1350" w:type="dxa"/>
            <w:shd w:val="clear" w:color="auto" w:fill="auto"/>
            <w:noWrap/>
            <w:vAlign w:val="bottom"/>
          </w:tcPr>
          <w:p w14:paraId="3C1920DB" w14:textId="1A73D923"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518,148</w:t>
            </w:r>
          </w:p>
        </w:tc>
        <w:tc>
          <w:tcPr>
            <w:tcW w:w="1288" w:type="dxa"/>
            <w:shd w:val="clear" w:color="auto" w:fill="auto"/>
            <w:noWrap/>
            <w:vAlign w:val="bottom"/>
          </w:tcPr>
          <w:p w14:paraId="2B0E3DD6" w14:textId="50363760"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      520,166</w:t>
            </w:r>
          </w:p>
        </w:tc>
      </w:tr>
      <w:tr w:rsidR="00495094" w:rsidRPr="00495094" w14:paraId="6C64EAA4" w14:textId="77777777" w:rsidTr="003315ED">
        <w:trPr>
          <w:trHeight w:val="71"/>
          <w:jc w:val="center"/>
        </w:trPr>
        <w:tc>
          <w:tcPr>
            <w:tcW w:w="1754" w:type="dxa"/>
            <w:tcBorders>
              <w:top w:val="single" w:sz="4" w:space="0" w:color="auto"/>
              <w:bottom w:val="single" w:sz="4" w:space="0" w:color="auto"/>
            </w:tcBorders>
            <w:shd w:val="clear" w:color="auto" w:fill="auto"/>
            <w:noWrap/>
            <w:vAlign w:val="bottom"/>
            <w:hideMark/>
          </w:tcPr>
          <w:p w14:paraId="2299143A" w14:textId="544D94BE" w:rsidR="00814095" w:rsidRPr="00495094" w:rsidRDefault="00814095" w:rsidP="008102BA">
            <w:pPr>
              <w:ind w:left="-97"/>
              <w:rPr>
                <w:rFonts w:ascii="Arial" w:hAnsi="Arial" w:cs="Arial"/>
                <w:bCs/>
                <w:sz w:val="16"/>
                <w:szCs w:val="16"/>
              </w:rPr>
            </w:pPr>
            <w:r w:rsidRPr="00495094">
              <w:rPr>
                <w:rFonts w:ascii="Arial" w:hAnsi="Arial" w:cs="Arial"/>
                <w:sz w:val="16"/>
                <w:szCs w:val="16"/>
              </w:rPr>
              <w:t>December 31, 2021, as restated</w:t>
            </w:r>
          </w:p>
        </w:tc>
        <w:tc>
          <w:tcPr>
            <w:tcW w:w="1286" w:type="dxa"/>
            <w:tcBorders>
              <w:top w:val="single" w:sz="4" w:space="0" w:color="auto"/>
              <w:bottom w:val="single" w:sz="4" w:space="0" w:color="auto"/>
            </w:tcBorders>
            <w:shd w:val="clear" w:color="auto" w:fill="auto"/>
            <w:noWrap/>
            <w:vAlign w:val="bottom"/>
          </w:tcPr>
          <w:p w14:paraId="65A9CB16" w14:textId="0815E52F" w:rsidR="00814095" w:rsidRPr="00495094" w:rsidRDefault="00814095" w:rsidP="00814095">
            <w:pPr>
              <w:jc w:val="right"/>
              <w:rPr>
                <w:rFonts w:ascii="Arial" w:hAnsi="Arial" w:cs="Arial"/>
                <w:sz w:val="16"/>
                <w:szCs w:val="16"/>
              </w:rPr>
            </w:pPr>
            <w:r w:rsidRPr="00495094">
              <w:rPr>
                <w:rFonts w:ascii="Arial" w:hAnsi="Arial" w:cs="Arial"/>
                <w:sz w:val="16"/>
                <w:szCs w:val="16"/>
              </w:rPr>
              <w:t>0</w:t>
            </w:r>
          </w:p>
        </w:tc>
        <w:tc>
          <w:tcPr>
            <w:tcW w:w="1190" w:type="dxa"/>
            <w:tcBorders>
              <w:top w:val="single" w:sz="4" w:space="0" w:color="auto"/>
              <w:bottom w:val="single" w:sz="4" w:space="0" w:color="auto"/>
            </w:tcBorders>
            <w:shd w:val="clear" w:color="auto" w:fill="auto"/>
            <w:noWrap/>
            <w:vAlign w:val="bottom"/>
          </w:tcPr>
          <w:p w14:paraId="3DE0F8EA" w14:textId="3DA42751"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23,931,429 </w:t>
            </w:r>
          </w:p>
        </w:tc>
        <w:tc>
          <w:tcPr>
            <w:tcW w:w="1143" w:type="dxa"/>
            <w:tcBorders>
              <w:top w:val="single" w:sz="4" w:space="0" w:color="auto"/>
              <w:bottom w:val="single" w:sz="4" w:space="0" w:color="auto"/>
            </w:tcBorders>
            <w:shd w:val="clear" w:color="auto" w:fill="auto"/>
            <w:noWrap/>
            <w:vAlign w:val="bottom"/>
          </w:tcPr>
          <w:p w14:paraId="7AB9EE63" w14:textId="59609F1F"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7,325,776 </w:t>
            </w:r>
          </w:p>
        </w:tc>
        <w:tc>
          <w:tcPr>
            <w:tcW w:w="1107" w:type="dxa"/>
            <w:tcBorders>
              <w:top w:val="single" w:sz="4" w:space="0" w:color="auto"/>
              <w:bottom w:val="single" w:sz="4" w:space="0" w:color="auto"/>
            </w:tcBorders>
            <w:shd w:val="clear" w:color="auto" w:fill="auto"/>
            <w:noWrap/>
            <w:vAlign w:val="bottom"/>
          </w:tcPr>
          <w:p w14:paraId="49FB53CF" w14:textId="30376692"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5,901,640 </w:t>
            </w:r>
          </w:p>
        </w:tc>
        <w:tc>
          <w:tcPr>
            <w:tcW w:w="1350" w:type="dxa"/>
            <w:tcBorders>
              <w:top w:val="single" w:sz="4" w:space="0" w:color="auto"/>
              <w:bottom w:val="single" w:sz="4" w:space="0" w:color="auto"/>
            </w:tcBorders>
            <w:shd w:val="clear" w:color="auto" w:fill="auto"/>
            <w:noWrap/>
            <w:vAlign w:val="bottom"/>
          </w:tcPr>
          <w:p w14:paraId="49CB122D" w14:textId="782FC8B0"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95,713,447 </w:t>
            </w:r>
          </w:p>
        </w:tc>
        <w:tc>
          <w:tcPr>
            <w:tcW w:w="1288" w:type="dxa"/>
            <w:tcBorders>
              <w:top w:val="single" w:sz="4" w:space="0" w:color="auto"/>
              <w:bottom w:val="single" w:sz="4" w:space="0" w:color="auto"/>
            </w:tcBorders>
            <w:shd w:val="clear" w:color="auto" w:fill="auto"/>
            <w:noWrap/>
            <w:vAlign w:val="bottom"/>
          </w:tcPr>
          <w:p w14:paraId="0E852A5B" w14:textId="28E98B93" w:rsidR="00814095" w:rsidRPr="00495094" w:rsidRDefault="00814095" w:rsidP="00814095">
            <w:pPr>
              <w:jc w:val="right"/>
              <w:rPr>
                <w:rFonts w:ascii="Arial" w:hAnsi="Arial" w:cs="Arial"/>
                <w:sz w:val="16"/>
                <w:szCs w:val="16"/>
              </w:rPr>
            </w:pPr>
            <w:r w:rsidRPr="00495094">
              <w:rPr>
                <w:rFonts w:ascii="Arial" w:hAnsi="Arial" w:cs="Arial"/>
                <w:sz w:val="16"/>
                <w:szCs w:val="16"/>
                <w:lang w:eastAsia="en-PH"/>
              </w:rPr>
              <w:t xml:space="preserve">132,872,292 </w:t>
            </w:r>
          </w:p>
        </w:tc>
      </w:tr>
      <w:tr w:rsidR="00814095" w:rsidRPr="00495094" w14:paraId="74B6943C" w14:textId="77777777" w:rsidTr="003315ED">
        <w:trPr>
          <w:trHeight w:val="204"/>
          <w:jc w:val="center"/>
        </w:trPr>
        <w:tc>
          <w:tcPr>
            <w:tcW w:w="1754" w:type="dxa"/>
            <w:tcBorders>
              <w:top w:val="single" w:sz="4" w:space="0" w:color="auto"/>
              <w:bottom w:val="double" w:sz="4" w:space="0" w:color="auto"/>
            </w:tcBorders>
            <w:shd w:val="clear" w:color="auto" w:fill="auto"/>
            <w:noWrap/>
            <w:vAlign w:val="bottom"/>
          </w:tcPr>
          <w:p w14:paraId="22F843E1" w14:textId="77777777" w:rsidR="00814095" w:rsidRPr="00495094" w:rsidRDefault="00814095" w:rsidP="00814095">
            <w:pPr>
              <w:ind w:left="-98"/>
              <w:rPr>
                <w:rFonts w:ascii="Arial" w:hAnsi="Arial" w:cs="Arial"/>
                <w:bCs/>
                <w:sz w:val="16"/>
                <w:szCs w:val="16"/>
              </w:rPr>
            </w:pPr>
            <w:r w:rsidRPr="00495094">
              <w:rPr>
                <w:rFonts w:ascii="Arial" w:hAnsi="Arial" w:cs="Arial"/>
                <w:bCs/>
                <w:sz w:val="16"/>
                <w:szCs w:val="16"/>
              </w:rPr>
              <w:t xml:space="preserve">Carrying amount </w:t>
            </w:r>
          </w:p>
          <w:p w14:paraId="3C423B2E" w14:textId="7FDC31C9" w:rsidR="00814095" w:rsidRPr="00495094" w:rsidRDefault="00814095" w:rsidP="00814095">
            <w:pPr>
              <w:ind w:left="-98"/>
              <w:rPr>
                <w:rFonts w:ascii="Arial" w:hAnsi="Arial" w:cs="Arial"/>
                <w:bCs/>
                <w:sz w:val="16"/>
                <w:szCs w:val="16"/>
              </w:rPr>
            </w:pPr>
            <w:r w:rsidRPr="00495094">
              <w:rPr>
                <w:rFonts w:ascii="Arial" w:hAnsi="Arial" w:cs="Arial"/>
                <w:bCs/>
                <w:sz w:val="16"/>
                <w:szCs w:val="16"/>
              </w:rPr>
              <w:t>December 31, 2021, as restated</w:t>
            </w:r>
          </w:p>
        </w:tc>
        <w:tc>
          <w:tcPr>
            <w:tcW w:w="1286" w:type="dxa"/>
            <w:tcBorders>
              <w:top w:val="single" w:sz="4" w:space="0" w:color="auto"/>
              <w:bottom w:val="double" w:sz="4" w:space="0" w:color="auto"/>
            </w:tcBorders>
            <w:shd w:val="clear" w:color="auto" w:fill="auto"/>
            <w:noWrap/>
            <w:vAlign w:val="bottom"/>
          </w:tcPr>
          <w:p w14:paraId="53E53830" w14:textId="60568809" w:rsidR="00814095" w:rsidRPr="00495094" w:rsidRDefault="00814095" w:rsidP="00814095">
            <w:pPr>
              <w:jc w:val="right"/>
              <w:rPr>
                <w:rFonts w:ascii="Arial" w:hAnsi="Arial" w:cs="Arial"/>
                <w:sz w:val="16"/>
                <w:szCs w:val="16"/>
              </w:rPr>
            </w:pPr>
            <w:r w:rsidRPr="00495094">
              <w:rPr>
                <w:rFonts w:ascii="Arial" w:hAnsi="Arial" w:cs="Arial"/>
                <w:sz w:val="16"/>
                <w:szCs w:val="16"/>
              </w:rPr>
              <w:t xml:space="preserve">          131,008,000 </w:t>
            </w:r>
          </w:p>
        </w:tc>
        <w:tc>
          <w:tcPr>
            <w:tcW w:w="1190" w:type="dxa"/>
            <w:tcBorders>
              <w:top w:val="single" w:sz="4" w:space="0" w:color="auto"/>
              <w:bottom w:val="double" w:sz="4" w:space="0" w:color="auto"/>
            </w:tcBorders>
            <w:shd w:val="clear" w:color="auto" w:fill="auto"/>
            <w:noWrap/>
            <w:vAlign w:val="bottom"/>
          </w:tcPr>
          <w:p w14:paraId="1BA97988" w14:textId="0B775814" w:rsidR="00814095" w:rsidRPr="00495094" w:rsidRDefault="00814095" w:rsidP="00814095">
            <w:pPr>
              <w:jc w:val="right"/>
              <w:rPr>
                <w:rFonts w:ascii="Arial" w:hAnsi="Arial" w:cs="Arial"/>
                <w:sz w:val="16"/>
                <w:szCs w:val="16"/>
              </w:rPr>
            </w:pPr>
            <w:r w:rsidRPr="00495094">
              <w:rPr>
                <w:rFonts w:ascii="Arial" w:hAnsi="Arial" w:cs="Arial"/>
                <w:sz w:val="16"/>
                <w:szCs w:val="16"/>
              </w:rPr>
              <w:t xml:space="preserve">             24,268,412 </w:t>
            </w:r>
          </w:p>
        </w:tc>
        <w:tc>
          <w:tcPr>
            <w:tcW w:w="1143" w:type="dxa"/>
            <w:tcBorders>
              <w:top w:val="single" w:sz="4" w:space="0" w:color="auto"/>
              <w:bottom w:val="double" w:sz="4" w:space="0" w:color="auto"/>
            </w:tcBorders>
            <w:shd w:val="clear" w:color="auto" w:fill="auto"/>
            <w:noWrap/>
            <w:vAlign w:val="bottom"/>
          </w:tcPr>
          <w:p w14:paraId="4FA8260E" w14:textId="078ADCFE" w:rsidR="00814095" w:rsidRPr="00495094" w:rsidRDefault="00814095" w:rsidP="00814095">
            <w:pPr>
              <w:jc w:val="right"/>
              <w:rPr>
                <w:rFonts w:ascii="Arial" w:hAnsi="Arial" w:cs="Arial"/>
                <w:bCs/>
                <w:sz w:val="16"/>
                <w:szCs w:val="16"/>
                <w:lang w:val="en-PH" w:eastAsia="en-PH"/>
              </w:rPr>
            </w:pPr>
            <w:r w:rsidRPr="00495094">
              <w:rPr>
                <w:rFonts w:ascii="Arial" w:hAnsi="Arial" w:cs="Arial"/>
                <w:sz w:val="16"/>
                <w:szCs w:val="16"/>
              </w:rPr>
              <w:t xml:space="preserve">             566,583 </w:t>
            </w:r>
          </w:p>
        </w:tc>
        <w:tc>
          <w:tcPr>
            <w:tcW w:w="1107" w:type="dxa"/>
            <w:tcBorders>
              <w:top w:val="single" w:sz="4" w:space="0" w:color="auto"/>
              <w:bottom w:val="double" w:sz="4" w:space="0" w:color="auto"/>
            </w:tcBorders>
            <w:shd w:val="clear" w:color="auto" w:fill="auto"/>
            <w:noWrap/>
            <w:vAlign w:val="bottom"/>
          </w:tcPr>
          <w:p w14:paraId="00C8C427" w14:textId="1D0187C4" w:rsidR="00814095" w:rsidRPr="00495094" w:rsidRDefault="00814095" w:rsidP="00814095">
            <w:pPr>
              <w:jc w:val="right"/>
              <w:rPr>
                <w:rFonts w:ascii="Arial" w:hAnsi="Arial" w:cs="Arial"/>
                <w:sz w:val="16"/>
                <w:szCs w:val="16"/>
              </w:rPr>
            </w:pPr>
            <w:r w:rsidRPr="00495094">
              <w:rPr>
                <w:rFonts w:ascii="Arial" w:hAnsi="Arial" w:cs="Arial"/>
                <w:sz w:val="16"/>
                <w:szCs w:val="16"/>
              </w:rPr>
              <w:t xml:space="preserve">             250,558 </w:t>
            </w:r>
          </w:p>
        </w:tc>
        <w:tc>
          <w:tcPr>
            <w:tcW w:w="1350" w:type="dxa"/>
            <w:tcBorders>
              <w:top w:val="single" w:sz="4" w:space="0" w:color="auto"/>
              <w:bottom w:val="double" w:sz="4" w:space="0" w:color="auto"/>
            </w:tcBorders>
            <w:shd w:val="clear" w:color="auto" w:fill="auto"/>
            <w:noWrap/>
            <w:vAlign w:val="bottom"/>
          </w:tcPr>
          <w:p w14:paraId="3119B036" w14:textId="5924606F" w:rsidR="00814095" w:rsidRPr="00495094" w:rsidRDefault="00814095" w:rsidP="00814095">
            <w:pPr>
              <w:jc w:val="right"/>
              <w:rPr>
                <w:rFonts w:ascii="Arial" w:hAnsi="Arial" w:cs="Arial"/>
                <w:bCs/>
                <w:sz w:val="16"/>
                <w:szCs w:val="16"/>
              </w:rPr>
            </w:pPr>
            <w:r w:rsidRPr="00495094">
              <w:rPr>
                <w:rFonts w:ascii="Arial" w:hAnsi="Arial" w:cs="Arial"/>
                <w:sz w:val="16"/>
                <w:szCs w:val="16"/>
              </w:rPr>
              <w:t xml:space="preserve">           1,774,144 </w:t>
            </w:r>
          </w:p>
        </w:tc>
        <w:tc>
          <w:tcPr>
            <w:tcW w:w="1288" w:type="dxa"/>
            <w:tcBorders>
              <w:top w:val="single" w:sz="4" w:space="0" w:color="auto"/>
              <w:bottom w:val="double" w:sz="4" w:space="0" w:color="auto"/>
            </w:tcBorders>
            <w:shd w:val="clear" w:color="auto" w:fill="auto"/>
            <w:noWrap/>
            <w:vAlign w:val="bottom"/>
          </w:tcPr>
          <w:p w14:paraId="4189C941" w14:textId="4C925516" w:rsidR="00814095" w:rsidRPr="00495094" w:rsidRDefault="00814095" w:rsidP="00814095">
            <w:pPr>
              <w:jc w:val="right"/>
              <w:rPr>
                <w:rFonts w:ascii="Arial" w:hAnsi="Arial" w:cs="Arial"/>
                <w:bCs/>
                <w:sz w:val="16"/>
                <w:szCs w:val="16"/>
              </w:rPr>
            </w:pPr>
            <w:r w:rsidRPr="00495094">
              <w:rPr>
                <w:rFonts w:ascii="Arial" w:hAnsi="Arial" w:cs="Arial"/>
                <w:sz w:val="16"/>
                <w:szCs w:val="16"/>
              </w:rPr>
              <w:t xml:space="preserve">       157,867,697 </w:t>
            </w:r>
          </w:p>
        </w:tc>
      </w:tr>
    </w:tbl>
    <w:p w14:paraId="22B22D0B" w14:textId="77777777" w:rsidR="00040E6C" w:rsidRPr="00495094" w:rsidRDefault="00040E6C" w:rsidP="002F04D3">
      <w:pPr>
        <w:rPr>
          <w:rFonts w:ascii="Arial" w:hAnsi="Arial" w:cs="Arial"/>
          <w:sz w:val="22"/>
          <w:szCs w:val="22"/>
        </w:rPr>
      </w:pPr>
    </w:p>
    <w:p w14:paraId="33CDE4A2" w14:textId="2314F857" w:rsidR="005B57B6" w:rsidRPr="00495094" w:rsidRDefault="00C36FC5" w:rsidP="003315ED">
      <w:pPr>
        <w:rPr>
          <w:rFonts w:ascii="Arial" w:hAnsi="Arial" w:cs="Arial"/>
          <w:sz w:val="22"/>
          <w:szCs w:val="22"/>
        </w:rPr>
      </w:pPr>
      <w:r w:rsidRPr="00495094">
        <w:rPr>
          <w:rFonts w:ascii="Arial" w:hAnsi="Arial" w:cs="Arial"/>
          <w:sz w:val="22"/>
          <w:szCs w:val="22"/>
        </w:rPr>
        <w:t>OFB (formerly PPSBI)</w:t>
      </w:r>
      <w:r w:rsidR="005B57B6" w:rsidRPr="00495094">
        <w:rPr>
          <w:rFonts w:ascii="Arial" w:hAnsi="Arial" w:cs="Arial"/>
          <w:sz w:val="22"/>
          <w:szCs w:val="22"/>
        </w:rPr>
        <w:t xml:space="preserve"> building was acquired thru Dacion En Pago from Philippine Postal Corporation on November 02, 2012 with booked value amounting to P37</w:t>
      </w:r>
      <w:r w:rsidR="00FE070B" w:rsidRPr="00495094">
        <w:rPr>
          <w:rFonts w:ascii="Arial" w:hAnsi="Arial" w:cs="Arial"/>
          <w:sz w:val="22"/>
          <w:szCs w:val="22"/>
        </w:rPr>
        <w:t>.</w:t>
      </w:r>
      <w:r w:rsidR="005B57B6" w:rsidRPr="00495094">
        <w:rPr>
          <w:rFonts w:ascii="Arial" w:hAnsi="Arial" w:cs="Arial"/>
          <w:sz w:val="22"/>
          <w:szCs w:val="22"/>
        </w:rPr>
        <w:t>567</w:t>
      </w:r>
      <w:r w:rsidR="00FE070B" w:rsidRPr="00495094">
        <w:rPr>
          <w:rFonts w:ascii="Arial" w:hAnsi="Arial" w:cs="Arial"/>
          <w:sz w:val="22"/>
          <w:szCs w:val="22"/>
        </w:rPr>
        <w:t xml:space="preserve"> million</w:t>
      </w:r>
      <w:r w:rsidR="001D5C0C" w:rsidRPr="00495094">
        <w:rPr>
          <w:rFonts w:ascii="Arial" w:hAnsi="Arial" w:cs="Arial"/>
          <w:sz w:val="22"/>
          <w:szCs w:val="22"/>
        </w:rPr>
        <w:t>.</w:t>
      </w:r>
    </w:p>
    <w:p w14:paraId="5EDB6DEA" w14:textId="77777777" w:rsidR="00225699" w:rsidRPr="00495094" w:rsidRDefault="00225699" w:rsidP="00FD3E34">
      <w:pPr>
        <w:pStyle w:val="BodyTextIndent"/>
        <w:ind w:left="720"/>
        <w:rPr>
          <w:rFonts w:ascii="Arial" w:hAnsi="Arial" w:cs="Arial"/>
          <w:b/>
          <w:bCs/>
          <w:sz w:val="22"/>
          <w:szCs w:val="22"/>
        </w:rPr>
      </w:pPr>
    </w:p>
    <w:p w14:paraId="138C724E" w14:textId="44A4664D" w:rsidR="00236209" w:rsidRPr="00495094" w:rsidRDefault="00236209" w:rsidP="007F4EEC">
      <w:pPr>
        <w:numPr>
          <w:ilvl w:val="0"/>
          <w:numId w:val="12"/>
        </w:numPr>
        <w:ind w:left="720"/>
        <w:rPr>
          <w:rFonts w:ascii="Arial" w:hAnsi="Arial" w:cs="Arial"/>
          <w:b/>
          <w:bCs/>
          <w:sz w:val="22"/>
          <w:szCs w:val="22"/>
        </w:rPr>
      </w:pPr>
      <w:r w:rsidRPr="00495094">
        <w:rPr>
          <w:rFonts w:ascii="Arial" w:hAnsi="Arial" w:cs="Arial"/>
          <w:b/>
          <w:bCs/>
          <w:sz w:val="22"/>
          <w:szCs w:val="22"/>
        </w:rPr>
        <w:t>Other Intangible Assets</w:t>
      </w:r>
      <w:r w:rsidR="00262187" w:rsidRPr="00495094">
        <w:rPr>
          <w:rFonts w:ascii="Arial" w:hAnsi="Arial" w:cs="Arial"/>
          <w:b/>
          <w:bCs/>
          <w:sz w:val="22"/>
          <w:szCs w:val="22"/>
        </w:rPr>
        <w:t xml:space="preserve"> - net</w:t>
      </w:r>
    </w:p>
    <w:p w14:paraId="0E09C75F" w14:textId="77777777" w:rsidR="00236209" w:rsidRPr="00495094" w:rsidRDefault="00236209" w:rsidP="00236209">
      <w:pPr>
        <w:ind w:left="360"/>
        <w:rPr>
          <w:rFonts w:ascii="Arial" w:hAnsi="Arial" w:cs="Arial"/>
          <w:sz w:val="22"/>
          <w:szCs w:val="22"/>
        </w:rPr>
      </w:pPr>
    </w:p>
    <w:p w14:paraId="2832415C" w14:textId="6F349678" w:rsidR="00236209" w:rsidRPr="00495094" w:rsidRDefault="00236209" w:rsidP="005170B0">
      <w:pPr>
        <w:pStyle w:val="BodyText3"/>
        <w:tabs>
          <w:tab w:val="clear" w:pos="8550"/>
        </w:tabs>
        <w:rPr>
          <w:bCs w:val="0"/>
        </w:rPr>
      </w:pPr>
      <w:r w:rsidRPr="00495094">
        <w:rPr>
          <w:bCs w:val="0"/>
        </w:rPr>
        <w:t xml:space="preserve">This account </w:t>
      </w:r>
      <w:r w:rsidR="00A771DE" w:rsidRPr="00495094">
        <w:rPr>
          <w:bCs w:val="0"/>
        </w:rPr>
        <w:t>represents</w:t>
      </w:r>
      <w:r w:rsidR="00804B9B" w:rsidRPr="00495094">
        <w:rPr>
          <w:bCs w:val="0"/>
        </w:rPr>
        <w:t xml:space="preserve"> cost of the Digital license fee, creation of the OFB microsite in LBP, </w:t>
      </w:r>
      <w:r w:rsidR="00C92086" w:rsidRPr="00495094">
        <w:rPr>
          <w:bCs w:val="0"/>
        </w:rPr>
        <w:t xml:space="preserve">enhancements of the </w:t>
      </w:r>
      <w:r w:rsidR="00804B9B" w:rsidRPr="00495094">
        <w:rPr>
          <w:bCs w:val="0"/>
        </w:rPr>
        <w:t>D</w:t>
      </w:r>
      <w:r w:rsidR="00C92086" w:rsidRPr="00495094">
        <w:rPr>
          <w:bCs w:val="0"/>
        </w:rPr>
        <w:t xml:space="preserve">igital </w:t>
      </w:r>
      <w:r w:rsidR="00804B9B" w:rsidRPr="00495094">
        <w:rPr>
          <w:bCs w:val="0"/>
        </w:rPr>
        <w:t>O</w:t>
      </w:r>
      <w:r w:rsidR="00C92086" w:rsidRPr="00495094">
        <w:rPr>
          <w:bCs w:val="0"/>
        </w:rPr>
        <w:t xml:space="preserve">n </w:t>
      </w:r>
      <w:r w:rsidR="00804B9B" w:rsidRPr="00495094">
        <w:rPr>
          <w:bCs w:val="0"/>
        </w:rPr>
        <w:t>B</w:t>
      </w:r>
      <w:r w:rsidR="00C92086" w:rsidRPr="00495094">
        <w:rPr>
          <w:bCs w:val="0"/>
        </w:rPr>
        <w:t xml:space="preserve">oarding </w:t>
      </w:r>
      <w:r w:rsidR="00804B9B" w:rsidRPr="00495094">
        <w:rPr>
          <w:bCs w:val="0"/>
        </w:rPr>
        <w:t>S</w:t>
      </w:r>
      <w:r w:rsidR="00C92086" w:rsidRPr="00495094">
        <w:rPr>
          <w:bCs w:val="0"/>
        </w:rPr>
        <w:t>ystem</w:t>
      </w:r>
      <w:r w:rsidR="00804B9B" w:rsidRPr="00495094">
        <w:rPr>
          <w:bCs w:val="0"/>
        </w:rPr>
        <w:t xml:space="preserve"> M</w:t>
      </w:r>
      <w:r w:rsidR="00C92086" w:rsidRPr="00495094">
        <w:rPr>
          <w:bCs w:val="0"/>
        </w:rPr>
        <w:t xml:space="preserve">obile </w:t>
      </w:r>
      <w:r w:rsidR="00804B9B" w:rsidRPr="00495094">
        <w:rPr>
          <w:bCs w:val="0"/>
        </w:rPr>
        <w:t>B</w:t>
      </w:r>
      <w:r w:rsidR="00C92086" w:rsidRPr="00495094">
        <w:rPr>
          <w:bCs w:val="0"/>
        </w:rPr>
        <w:t xml:space="preserve">anking </w:t>
      </w:r>
      <w:r w:rsidR="00804B9B" w:rsidRPr="00495094">
        <w:rPr>
          <w:bCs w:val="0"/>
        </w:rPr>
        <w:t>A</w:t>
      </w:r>
      <w:r w:rsidR="00C92086" w:rsidRPr="00495094">
        <w:rPr>
          <w:bCs w:val="0"/>
        </w:rPr>
        <w:t>pplication (DOBS MBA) and t</w:t>
      </w:r>
      <w:r w:rsidR="00804B9B" w:rsidRPr="00495094">
        <w:rPr>
          <w:bCs w:val="0"/>
        </w:rPr>
        <w:t>he Livelihood</w:t>
      </w:r>
      <w:r w:rsidRPr="00495094">
        <w:rPr>
          <w:bCs w:val="0"/>
        </w:rPr>
        <w:t xml:space="preserve"> </w:t>
      </w:r>
      <w:r w:rsidR="00804B9B" w:rsidRPr="00495094">
        <w:rPr>
          <w:bCs w:val="0"/>
        </w:rPr>
        <w:t>Loan System (LLS) to support OFB operations.</w:t>
      </w:r>
      <w:r w:rsidR="00A771DE" w:rsidRPr="00495094">
        <w:rPr>
          <w:bCs w:val="0"/>
        </w:rPr>
        <w:t xml:space="preserve"> Details as follows:</w:t>
      </w:r>
    </w:p>
    <w:p w14:paraId="2B022297" w14:textId="77777777" w:rsidR="00236209" w:rsidRPr="00495094" w:rsidRDefault="00236209" w:rsidP="00236209">
      <w:pPr>
        <w:rPr>
          <w:rFonts w:ascii="Arial" w:hAnsi="Arial" w:cs="Arial"/>
          <w:sz w:val="22"/>
          <w:szCs w:val="22"/>
        </w:rPr>
      </w:pPr>
    </w:p>
    <w:tbl>
      <w:tblPr>
        <w:tblW w:w="0" w:type="auto"/>
        <w:tblInd w:w="108" w:type="dxa"/>
        <w:tblLook w:val="04A0" w:firstRow="1" w:lastRow="0" w:firstColumn="1" w:lastColumn="0" w:noHBand="0" w:noVBand="1"/>
      </w:tblPr>
      <w:tblGrid>
        <w:gridCol w:w="5044"/>
        <w:gridCol w:w="1685"/>
        <w:gridCol w:w="1685"/>
      </w:tblGrid>
      <w:tr w:rsidR="00495094" w:rsidRPr="00495094" w14:paraId="56189446" w14:textId="77777777" w:rsidTr="005D5DAA">
        <w:trPr>
          <w:tblHeader/>
        </w:trPr>
        <w:tc>
          <w:tcPr>
            <w:tcW w:w="5234" w:type="dxa"/>
            <w:tcBorders>
              <w:top w:val="single" w:sz="4" w:space="0" w:color="auto"/>
              <w:left w:val="nil"/>
              <w:bottom w:val="single" w:sz="4" w:space="0" w:color="auto"/>
              <w:right w:val="nil"/>
            </w:tcBorders>
            <w:shd w:val="clear" w:color="auto" w:fill="auto"/>
            <w:vAlign w:val="center"/>
          </w:tcPr>
          <w:p w14:paraId="0BF5CF3A" w14:textId="77777777" w:rsidR="00236209" w:rsidRPr="00495094" w:rsidRDefault="00236209" w:rsidP="00912430">
            <w:pPr>
              <w:rPr>
                <w:rFonts w:ascii="Arial" w:hAnsi="Arial" w:cs="Arial"/>
                <w:sz w:val="22"/>
                <w:szCs w:val="22"/>
                <w:lang w:val="en-PH" w:eastAsia="en-PH"/>
              </w:rPr>
            </w:pPr>
            <w:r w:rsidRPr="00495094">
              <w:rPr>
                <w:rFonts w:ascii="Arial" w:hAnsi="Arial" w:cs="Arial"/>
                <w:sz w:val="22"/>
                <w:szCs w:val="22"/>
              </w:rPr>
              <w:t> </w:t>
            </w:r>
          </w:p>
        </w:tc>
        <w:tc>
          <w:tcPr>
            <w:tcW w:w="1703" w:type="dxa"/>
            <w:tcBorders>
              <w:top w:val="single" w:sz="4" w:space="0" w:color="auto"/>
              <w:left w:val="nil"/>
              <w:bottom w:val="single" w:sz="4" w:space="0" w:color="auto"/>
              <w:right w:val="nil"/>
            </w:tcBorders>
            <w:shd w:val="clear" w:color="auto" w:fill="auto"/>
            <w:vAlign w:val="center"/>
          </w:tcPr>
          <w:p w14:paraId="701BABC6" w14:textId="0F2D3538" w:rsidR="00236209" w:rsidRPr="00495094" w:rsidRDefault="004E5C33" w:rsidP="00912430">
            <w:pPr>
              <w:jc w:val="center"/>
              <w:rPr>
                <w:rFonts w:ascii="Arial" w:hAnsi="Arial" w:cs="Arial"/>
                <w:b/>
                <w:bCs/>
                <w:sz w:val="22"/>
                <w:szCs w:val="22"/>
              </w:rPr>
            </w:pPr>
            <w:r w:rsidRPr="00495094">
              <w:rPr>
                <w:rFonts w:ascii="Arial" w:hAnsi="Arial" w:cs="Arial"/>
                <w:b/>
                <w:bCs/>
                <w:sz w:val="22"/>
                <w:szCs w:val="22"/>
              </w:rPr>
              <w:t xml:space="preserve">     </w:t>
            </w:r>
            <w:r w:rsidR="00523DBB" w:rsidRPr="00495094">
              <w:rPr>
                <w:rFonts w:ascii="Arial" w:hAnsi="Arial" w:cs="Arial"/>
                <w:b/>
                <w:bCs/>
                <w:sz w:val="22"/>
                <w:szCs w:val="22"/>
              </w:rPr>
              <w:t>2022</w:t>
            </w:r>
          </w:p>
        </w:tc>
        <w:tc>
          <w:tcPr>
            <w:tcW w:w="1703" w:type="dxa"/>
            <w:tcBorders>
              <w:top w:val="single" w:sz="4" w:space="0" w:color="auto"/>
              <w:left w:val="nil"/>
              <w:bottom w:val="single" w:sz="4" w:space="0" w:color="auto"/>
              <w:right w:val="nil"/>
            </w:tcBorders>
            <w:shd w:val="clear" w:color="auto" w:fill="auto"/>
            <w:vAlign w:val="center"/>
          </w:tcPr>
          <w:p w14:paraId="6F46C1C6" w14:textId="77777777" w:rsidR="00236209" w:rsidRPr="00495094" w:rsidRDefault="00D230E1" w:rsidP="00912430">
            <w:pPr>
              <w:jc w:val="center"/>
              <w:rPr>
                <w:rFonts w:ascii="Arial" w:hAnsi="Arial" w:cs="Arial"/>
                <w:b/>
                <w:bCs/>
                <w:sz w:val="22"/>
                <w:szCs w:val="22"/>
              </w:rPr>
            </w:pPr>
            <w:r w:rsidRPr="00495094">
              <w:rPr>
                <w:rFonts w:ascii="Arial" w:hAnsi="Arial" w:cs="Arial"/>
                <w:b/>
                <w:bCs/>
                <w:sz w:val="22"/>
                <w:szCs w:val="22"/>
              </w:rPr>
              <w:t>2021</w:t>
            </w:r>
          </w:p>
          <w:p w14:paraId="7099C49C" w14:textId="33BF9DEF" w:rsidR="00E05678" w:rsidRPr="00495094" w:rsidRDefault="00E05678" w:rsidP="00912430">
            <w:pPr>
              <w:jc w:val="center"/>
              <w:rPr>
                <w:rFonts w:ascii="Arial" w:hAnsi="Arial" w:cs="Arial"/>
                <w:b/>
                <w:bCs/>
                <w:sz w:val="22"/>
                <w:szCs w:val="22"/>
              </w:rPr>
            </w:pPr>
            <w:r w:rsidRPr="00495094">
              <w:rPr>
                <w:rFonts w:ascii="Arial" w:hAnsi="Arial" w:cs="Arial"/>
                <w:b/>
                <w:bCs/>
                <w:sz w:val="22"/>
                <w:szCs w:val="22"/>
              </w:rPr>
              <w:t>As restated</w:t>
            </w:r>
          </w:p>
        </w:tc>
      </w:tr>
      <w:tr w:rsidR="00495094" w:rsidRPr="00495094" w14:paraId="3B2BA395" w14:textId="77777777" w:rsidTr="005D5DAA">
        <w:tc>
          <w:tcPr>
            <w:tcW w:w="5234" w:type="dxa"/>
            <w:tcBorders>
              <w:top w:val="single" w:sz="4" w:space="0" w:color="auto"/>
              <w:left w:val="nil"/>
              <w:bottom w:val="nil"/>
              <w:right w:val="nil"/>
            </w:tcBorders>
            <w:shd w:val="clear" w:color="auto" w:fill="auto"/>
            <w:vAlign w:val="center"/>
          </w:tcPr>
          <w:p w14:paraId="7321087F" w14:textId="6040C191" w:rsidR="004E5C33" w:rsidRPr="00495094" w:rsidRDefault="004E5C33" w:rsidP="004E5C33">
            <w:pPr>
              <w:jc w:val="left"/>
              <w:rPr>
                <w:rFonts w:ascii="Arial" w:hAnsi="Arial" w:cs="Arial"/>
                <w:sz w:val="22"/>
                <w:szCs w:val="22"/>
                <w:lang w:val="en-PH" w:eastAsia="en-PH"/>
              </w:rPr>
            </w:pPr>
            <w:r w:rsidRPr="00495094">
              <w:rPr>
                <w:rFonts w:ascii="Arial" w:hAnsi="Arial" w:cs="Arial"/>
                <w:sz w:val="22"/>
                <w:szCs w:val="22"/>
              </w:rPr>
              <w:t>Other intangible assets</w:t>
            </w:r>
          </w:p>
        </w:tc>
        <w:tc>
          <w:tcPr>
            <w:tcW w:w="1703" w:type="dxa"/>
            <w:tcBorders>
              <w:top w:val="single" w:sz="4" w:space="0" w:color="auto"/>
              <w:left w:val="nil"/>
              <w:bottom w:val="nil"/>
              <w:right w:val="nil"/>
            </w:tcBorders>
            <w:shd w:val="clear" w:color="auto" w:fill="auto"/>
            <w:vAlign w:val="center"/>
          </w:tcPr>
          <w:p w14:paraId="554FD3CA" w14:textId="1FF2E8A2" w:rsidR="004E5C33" w:rsidRPr="00495094" w:rsidRDefault="00C92086" w:rsidP="00C92086">
            <w:pPr>
              <w:ind w:right="25"/>
              <w:jc w:val="right"/>
              <w:rPr>
                <w:rFonts w:ascii="Arial" w:hAnsi="Arial" w:cs="Arial"/>
                <w:sz w:val="22"/>
                <w:szCs w:val="22"/>
              </w:rPr>
            </w:pPr>
            <w:r w:rsidRPr="00495094">
              <w:rPr>
                <w:rFonts w:ascii="Arial" w:hAnsi="Arial" w:cs="Arial"/>
                <w:sz w:val="22"/>
                <w:szCs w:val="22"/>
              </w:rPr>
              <w:t>25,353,287</w:t>
            </w:r>
          </w:p>
        </w:tc>
        <w:tc>
          <w:tcPr>
            <w:tcW w:w="1703" w:type="dxa"/>
            <w:tcBorders>
              <w:top w:val="single" w:sz="4" w:space="0" w:color="auto"/>
              <w:left w:val="nil"/>
              <w:bottom w:val="nil"/>
              <w:right w:val="nil"/>
            </w:tcBorders>
            <w:shd w:val="clear" w:color="auto" w:fill="auto"/>
            <w:vAlign w:val="center"/>
          </w:tcPr>
          <w:p w14:paraId="727CDCB3" w14:textId="513D28FC" w:rsidR="004E5C33" w:rsidRPr="00495094" w:rsidRDefault="00D230E1" w:rsidP="001F30F9">
            <w:pPr>
              <w:jc w:val="right"/>
              <w:rPr>
                <w:rFonts w:ascii="Arial" w:hAnsi="Arial" w:cs="Arial"/>
                <w:sz w:val="22"/>
                <w:szCs w:val="22"/>
              </w:rPr>
            </w:pPr>
            <w:r w:rsidRPr="00495094">
              <w:rPr>
                <w:rFonts w:ascii="Arial" w:hAnsi="Arial" w:cs="Arial"/>
                <w:sz w:val="22"/>
                <w:szCs w:val="22"/>
              </w:rPr>
              <w:t>95,41</w:t>
            </w:r>
            <w:r w:rsidR="001F30F9" w:rsidRPr="00495094">
              <w:rPr>
                <w:rFonts w:ascii="Arial" w:hAnsi="Arial" w:cs="Arial"/>
                <w:sz w:val="22"/>
                <w:szCs w:val="22"/>
              </w:rPr>
              <w:t>1</w:t>
            </w:r>
            <w:r w:rsidRPr="00495094">
              <w:rPr>
                <w:rFonts w:ascii="Arial" w:hAnsi="Arial" w:cs="Arial"/>
                <w:sz w:val="22"/>
                <w:szCs w:val="22"/>
              </w:rPr>
              <w:t>,</w:t>
            </w:r>
            <w:r w:rsidR="001F30F9" w:rsidRPr="00495094">
              <w:rPr>
                <w:rFonts w:ascii="Arial" w:hAnsi="Arial" w:cs="Arial"/>
                <w:sz w:val="22"/>
                <w:szCs w:val="22"/>
              </w:rPr>
              <w:t>25</w:t>
            </w:r>
            <w:r w:rsidRPr="00495094">
              <w:rPr>
                <w:rFonts w:ascii="Arial" w:hAnsi="Arial" w:cs="Arial"/>
                <w:sz w:val="22"/>
                <w:szCs w:val="22"/>
              </w:rPr>
              <w:t>1</w:t>
            </w:r>
          </w:p>
        </w:tc>
      </w:tr>
      <w:tr w:rsidR="00495094" w:rsidRPr="00495094" w14:paraId="0E9E5C31" w14:textId="77777777" w:rsidTr="005D5DAA">
        <w:tc>
          <w:tcPr>
            <w:tcW w:w="5234" w:type="dxa"/>
            <w:tcBorders>
              <w:top w:val="nil"/>
              <w:left w:val="nil"/>
              <w:bottom w:val="single" w:sz="4" w:space="0" w:color="auto"/>
              <w:right w:val="nil"/>
            </w:tcBorders>
            <w:shd w:val="clear" w:color="auto" w:fill="auto"/>
            <w:vAlign w:val="center"/>
          </w:tcPr>
          <w:p w14:paraId="142F5BFB" w14:textId="74FA86A7" w:rsidR="004E5C33" w:rsidRPr="00495094" w:rsidRDefault="004E5C33" w:rsidP="004E5C33">
            <w:pPr>
              <w:jc w:val="left"/>
              <w:rPr>
                <w:rFonts w:ascii="Arial" w:hAnsi="Arial" w:cs="Arial"/>
                <w:sz w:val="22"/>
                <w:szCs w:val="22"/>
              </w:rPr>
            </w:pPr>
            <w:r w:rsidRPr="00495094">
              <w:rPr>
                <w:rFonts w:ascii="Arial" w:hAnsi="Arial" w:cs="Arial"/>
                <w:sz w:val="22"/>
                <w:szCs w:val="22"/>
              </w:rPr>
              <w:t>Accumulated amortization</w:t>
            </w:r>
          </w:p>
        </w:tc>
        <w:tc>
          <w:tcPr>
            <w:tcW w:w="1703" w:type="dxa"/>
            <w:tcBorders>
              <w:top w:val="nil"/>
              <w:left w:val="nil"/>
              <w:bottom w:val="single" w:sz="4" w:space="0" w:color="auto"/>
              <w:right w:val="nil"/>
            </w:tcBorders>
            <w:shd w:val="clear" w:color="auto" w:fill="auto"/>
            <w:vAlign w:val="center"/>
          </w:tcPr>
          <w:p w14:paraId="77E85F48" w14:textId="35BFDC70" w:rsidR="004E5C33" w:rsidRPr="00495094" w:rsidRDefault="004E5C33" w:rsidP="00C92086">
            <w:pPr>
              <w:ind w:right="-36"/>
              <w:jc w:val="right"/>
              <w:rPr>
                <w:rFonts w:ascii="Arial" w:hAnsi="Arial" w:cs="Arial"/>
                <w:sz w:val="22"/>
                <w:szCs w:val="22"/>
              </w:rPr>
            </w:pPr>
            <w:r w:rsidRPr="00495094">
              <w:rPr>
                <w:rFonts w:ascii="Arial" w:hAnsi="Arial" w:cs="Arial"/>
                <w:sz w:val="22"/>
                <w:szCs w:val="22"/>
              </w:rPr>
              <w:t>(</w:t>
            </w:r>
            <w:r w:rsidR="00523DBB" w:rsidRPr="00495094">
              <w:rPr>
                <w:rFonts w:ascii="Arial" w:hAnsi="Arial" w:cs="Arial"/>
                <w:sz w:val="22"/>
                <w:szCs w:val="22"/>
              </w:rPr>
              <w:t>5</w:t>
            </w:r>
            <w:r w:rsidR="00C92086" w:rsidRPr="00495094">
              <w:rPr>
                <w:rFonts w:ascii="Arial" w:hAnsi="Arial" w:cs="Arial"/>
                <w:sz w:val="22"/>
                <w:szCs w:val="22"/>
              </w:rPr>
              <w:t>,737,47</w:t>
            </w:r>
            <w:r w:rsidR="00523DBB" w:rsidRPr="00495094">
              <w:rPr>
                <w:rFonts w:ascii="Arial" w:hAnsi="Arial" w:cs="Arial"/>
                <w:sz w:val="22"/>
                <w:szCs w:val="22"/>
              </w:rPr>
              <w:t>1</w:t>
            </w:r>
            <w:r w:rsidRPr="00495094">
              <w:rPr>
                <w:rFonts w:ascii="Arial" w:hAnsi="Arial" w:cs="Arial"/>
                <w:sz w:val="22"/>
                <w:szCs w:val="22"/>
              </w:rPr>
              <w:t>)</w:t>
            </w:r>
          </w:p>
        </w:tc>
        <w:tc>
          <w:tcPr>
            <w:tcW w:w="1703" w:type="dxa"/>
            <w:tcBorders>
              <w:top w:val="nil"/>
              <w:left w:val="nil"/>
              <w:bottom w:val="single" w:sz="4" w:space="0" w:color="auto"/>
              <w:right w:val="nil"/>
            </w:tcBorders>
            <w:shd w:val="clear" w:color="auto" w:fill="auto"/>
            <w:vAlign w:val="center"/>
          </w:tcPr>
          <w:p w14:paraId="289C48B7" w14:textId="0C67DBD6" w:rsidR="004E5C33" w:rsidRPr="00495094" w:rsidRDefault="004E5C33" w:rsidP="00523DBB">
            <w:pPr>
              <w:ind w:right="-108"/>
              <w:jc w:val="right"/>
              <w:rPr>
                <w:rFonts w:ascii="Arial" w:hAnsi="Arial" w:cs="Arial"/>
                <w:sz w:val="22"/>
                <w:szCs w:val="22"/>
              </w:rPr>
            </w:pPr>
            <w:r w:rsidRPr="00495094">
              <w:rPr>
                <w:rFonts w:ascii="Arial" w:hAnsi="Arial" w:cs="Arial"/>
                <w:sz w:val="22"/>
                <w:szCs w:val="22"/>
              </w:rPr>
              <w:t>(</w:t>
            </w:r>
            <w:r w:rsidR="00523DBB" w:rsidRPr="00495094">
              <w:rPr>
                <w:rFonts w:ascii="Arial" w:hAnsi="Arial" w:cs="Arial"/>
                <w:sz w:val="22"/>
                <w:szCs w:val="22"/>
              </w:rPr>
              <w:t>67,407,758</w:t>
            </w:r>
            <w:r w:rsidRPr="00495094">
              <w:rPr>
                <w:rFonts w:ascii="Arial" w:hAnsi="Arial" w:cs="Arial"/>
                <w:sz w:val="22"/>
                <w:szCs w:val="22"/>
              </w:rPr>
              <w:t>)</w:t>
            </w:r>
          </w:p>
        </w:tc>
      </w:tr>
      <w:tr w:rsidR="00495094" w:rsidRPr="00495094" w14:paraId="2D46A64B" w14:textId="77777777" w:rsidTr="005D5DAA">
        <w:tc>
          <w:tcPr>
            <w:tcW w:w="5234" w:type="dxa"/>
            <w:tcBorders>
              <w:top w:val="single" w:sz="4" w:space="0" w:color="auto"/>
              <w:left w:val="nil"/>
              <w:bottom w:val="nil"/>
              <w:right w:val="nil"/>
            </w:tcBorders>
            <w:shd w:val="clear" w:color="auto" w:fill="auto"/>
            <w:vAlign w:val="center"/>
          </w:tcPr>
          <w:p w14:paraId="6C4370C1" w14:textId="6A2AF94B" w:rsidR="004E5C33" w:rsidRPr="00495094" w:rsidRDefault="004E5C33" w:rsidP="004E5C33">
            <w:pPr>
              <w:jc w:val="left"/>
              <w:rPr>
                <w:rFonts w:ascii="Arial" w:hAnsi="Arial" w:cs="Arial"/>
                <w:sz w:val="22"/>
                <w:szCs w:val="22"/>
              </w:rPr>
            </w:pPr>
          </w:p>
        </w:tc>
        <w:tc>
          <w:tcPr>
            <w:tcW w:w="1703" w:type="dxa"/>
            <w:tcBorders>
              <w:top w:val="single" w:sz="4" w:space="0" w:color="auto"/>
              <w:left w:val="nil"/>
              <w:bottom w:val="nil"/>
              <w:right w:val="nil"/>
            </w:tcBorders>
            <w:shd w:val="clear" w:color="auto" w:fill="auto"/>
            <w:vAlign w:val="center"/>
          </w:tcPr>
          <w:p w14:paraId="72499BB7" w14:textId="1AA6A43E" w:rsidR="004E5C33" w:rsidRPr="00495094" w:rsidRDefault="00445889" w:rsidP="00023B37">
            <w:pPr>
              <w:ind w:right="25"/>
              <w:jc w:val="right"/>
              <w:rPr>
                <w:rFonts w:ascii="Arial" w:hAnsi="Arial" w:cs="Arial"/>
                <w:sz w:val="22"/>
                <w:szCs w:val="22"/>
              </w:rPr>
            </w:pPr>
            <w:r w:rsidRPr="00495094">
              <w:rPr>
                <w:rFonts w:ascii="Arial" w:hAnsi="Arial" w:cs="Arial"/>
                <w:sz w:val="22"/>
                <w:szCs w:val="22"/>
              </w:rPr>
              <w:t>1</w:t>
            </w:r>
            <w:r w:rsidR="00523DBB" w:rsidRPr="00495094">
              <w:rPr>
                <w:rFonts w:ascii="Arial" w:hAnsi="Arial" w:cs="Arial"/>
                <w:sz w:val="22"/>
                <w:szCs w:val="22"/>
              </w:rPr>
              <w:t>9</w:t>
            </w:r>
            <w:r w:rsidR="004E5C33" w:rsidRPr="00495094">
              <w:rPr>
                <w:rFonts w:ascii="Arial" w:hAnsi="Arial" w:cs="Arial"/>
                <w:sz w:val="22"/>
                <w:szCs w:val="22"/>
              </w:rPr>
              <w:t>,</w:t>
            </w:r>
            <w:r w:rsidR="00523DBB" w:rsidRPr="00495094">
              <w:rPr>
                <w:rFonts w:ascii="Arial" w:hAnsi="Arial" w:cs="Arial"/>
                <w:sz w:val="22"/>
                <w:szCs w:val="22"/>
              </w:rPr>
              <w:t>615</w:t>
            </w:r>
            <w:r w:rsidR="004E5C33" w:rsidRPr="00495094">
              <w:rPr>
                <w:rFonts w:ascii="Arial" w:hAnsi="Arial" w:cs="Arial"/>
                <w:sz w:val="22"/>
                <w:szCs w:val="22"/>
              </w:rPr>
              <w:t>,</w:t>
            </w:r>
            <w:r w:rsidR="00523DBB" w:rsidRPr="00495094">
              <w:rPr>
                <w:rFonts w:ascii="Arial" w:hAnsi="Arial" w:cs="Arial"/>
                <w:sz w:val="22"/>
                <w:szCs w:val="22"/>
              </w:rPr>
              <w:t>8</w:t>
            </w:r>
            <w:r w:rsidRPr="00495094">
              <w:rPr>
                <w:rFonts w:ascii="Arial" w:hAnsi="Arial" w:cs="Arial"/>
                <w:sz w:val="22"/>
                <w:szCs w:val="22"/>
              </w:rPr>
              <w:t>16</w:t>
            </w:r>
          </w:p>
        </w:tc>
        <w:tc>
          <w:tcPr>
            <w:tcW w:w="1703" w:type="dxa"/>
            <w:tcBorders>
              <w:top w:val="single" w:sz="4" w:space="0" w:color="auto"/>
              <w:left w:val="nil"/>
              <w:bottom w:val="nil"/>
              <w:right w:val="nil"/>
            </w:tcBorders>
            <w:shd w:val="clear" w:color="auto" w:fill="auto"/>
            <w:vAlign w:val="center"/>
          </w:tcPr>
          <w:p w14:paraId="0CE7A236" w14:textId="70EA4FB6" w:rsidR="004E5C33" w:rsidRPr="00495094" w:rsidRDefault="00523DBB" w:rsidP="001F30F9">
            <w:pPr>
              <w:jc w:val="right"/>
              <w:rPr>
                <w:rFonts w:ascii="Arial" w:hAnsi="Arial" w:cs="Arial"/>
                <w:sz w:val="22"/>
                <w:szCs w:val="22"/>
              </w:rPr>
            </w:pPr>
            <w:r w:rsidRPr="00495094">
              <w:rPr>
                <w:rFonts w:ascii="Arial" w:hAnsi="Arial" w:cs="Arial"/>
                <w:sz w:val="22"/>
                <w:szCs w:val="22"/>
              </w:rPr>
              <w:t>28,003,</w:t>
            </w:r>
            <w:r w:rsidR="001F30F9" w:rsidRPr="00495094">
              <w:rPr>
                <w:rFonts w:ascii="Arial" w:hAnsi="Arial" w:cs="Arial"/>
                <w:sz w:val="22"/>
                <w:szCs w:val="22"/>
              </w:rPr>
              <w:t>493</w:t>
            </w:r>
          </w:p>
        </w:tc>
      </w:tr>
      <w:tr w:rsidR="00495094" w:rsidRPr="00495094" w14:paraId="5C7B3532" w14:textId="77777777" w:rsidTr="005D5DAA">
        <w:tc>
          <w:tcPr>
            <w:tcW w:w="5234" w:type="dxa"/>
            <w:tcBorders>
              <w:top w:val="nil"/>
              <w:left w:val="nil"/>
              <w:bottom w:val="single" w:sz="4" w:space="0" w:color="auto"/>
              <w:right w:val="nil"/>
            </w:tcBorders>
            <w:shd w:val="clear" w:color="auto" w:fill="auto"/>
            <w:vAlign w:val="center"/>
          </w:tcPr>
          <w:p w14:paraId="0A665953" w14:textId="647AC376" w:rsidR="004E5C33" w:rsidRPr="00495094" w:rsidRDefault="004E5C33" w:rsidP="004E5C33">
            <w:pPr>
              <w:jc w:val="left"/>
              <w:rPr>
                <w:rFonts w:ascii="Arial" w:hAnsi="Arial" w:cs="Arial"/>
                <w:sz w:val="22"/>
                <w:szCs w:val="22"/>
              </w:rPr>
            </w:pPr>
            <w:r w:rsidRPr="00495094">
              <w:rPr>
                <w:rFonts w:ascii="Arial" w:hAnsi="Arial" w:cs="Arial"/>
                <w:sz w:val="22"/>
                <w:szCs w:val="22"/>
              </w:rPr>
              <w:t>Allowance for losses</w:t>
            </w:r>
          </w:p>
        </w:tc>
        <w:tc>
          <w:tcPr>
            <w:tcW w:w="1703" w:type="dxa"/>
            <w:tcBorders>
              <w:top w:val="nil"/>
              <w:left w:val="nil"/>
              <w:bottom w:val="single" w:sz="4" w:space="0" w:color="auto"/>
              <w:right w:val="nil"/>
            </w:tcBorders>
            <w:shd w:val="clear" w:color="auto" w:fill="auto"/>
            <w:vAlign w:val="center"/>
          </w:tcPr>
          <w:p w14:paraId="137D82F9" w14:textId="7BB90F9E" w:rsidR="004E5C33" w:rsidRPr="00495094" w:rsidRDefault="005170B0" w:rsidP="00445889">
            <w:pPr>
              <w:ind w:right="-36"/>
              <w:jc w:val="right"/>
              <w:rPr>
                <w:rFonts w:ascii="Arial" w:hAnsi="Arial" w:cs="Arial"/>
                <w:sz w:val="22"/>
                <w:szCs w:val="22"/>
              </w:rPr>
            </w:pPr>
            <w:r w:rsidRPr="00495094">
              <w:rPr>
                <w:rFonts w:ascii="Arial" w:hAnsi="Arial" w:cs="Arial"/>
                <w:sz w:val="22"/>
                <w:szCs w:val="22"/>
              </w:rPr>
              <w:t>0</w:t>
            </w:r>
          </w:p>
        </w:tc>
        <w:tc>
          <w:tcPr>
            <w:tcW w:w="1703" w:type="dxa"/>
            <w:tcBorders>
              <w:top w:val="nil"/>
              <w:left w:val="nil"/>
              <w:bottom w:val="single" w:sz="4" w:space="0" w:color="auto"/>
              <w:right w:val="nil"/>
            </w:tcBorders>
            <w:shd w:val="clear" w:color="auto" w:fill="auto"/>
            <w:vAlign w:val="center"/>
          </w:tcPr>
          <w:p w14:paraId="51163850" w14:textId="274C2BDB" w:rsidR="004E5C33" w:rsidRPr="00495094" w:rsidRDefault="004E5C33" w:rsidP="004E5C33">
            <w:pPr>
              <w:ind w:right="-115"/>
              <w:jc w:val="right"/>
              <w:rPr>
                <w:rFonts w:ascii="Arial" w:hAnsi="Arial" w:cs="Arial"/>
                <w:sz w:val="22"/>
                <w:szCs w:val="22"/>
              </w:rPr>
            </w:pPr>
            <w:r w:rsidRPr="00495094">
              <w:rPr>
                <w:rFonts w:ascii="Arial" w:hAnsi="Arial" w:cs="Arial"/>
                <w:sz w:val="22"/>
                <w:szCs w:val="22"/>
              </w:rPr>
              <w:t>(10,000,000)</w:t>
            </w:r>
          </w:p>
        </w:tc>
      </w:tr>
      <w:tr w:rsidR="00495094" w:rsidRPr="00495094" w14:paraId="4183AF75" w14:textId="77777777" w:rsidTr="005D5DAA">
        <w:tc>
          <w:tcPr>
            <w:tcW w:w="5234" w:type="dxa"/>
            <w:tcBorders>
              <w:top w:val="single" w:sz="4" w:space="0" w:color="auto"/>
              <w:left w:val="nil"/>
              <w:bottom w:val="double" w:sz="4" w:space="0" w:color="auto"/>
              <w:right w:val="nil"/>
            </w:tcBorders>
            <w:shd w:val="clear" w:color="auto" w:fill="auto"/>
            <w:vAlign w:val="center"/>
          </w:tcPr>
          <w:p w14:paraId="20ADAA93" w14:textId="77777777" w:rsidR="004E5C33" w:rsidRPr="00495094" w:rsidRDefault="004E5C33" w:rsidP="004E5C33">
            <w:pPr>
              <w:rPr>
                <w:rFonts w:ascii="Arial" w:hAnsi="Arial" w:cs="Arial"/>
                <w:sz w:val="22"/>
                <w:szCs w:val="22"/>
              </w:rPr>
            </w:pPr>
            <w:r w:rsidRPr="00495094">
              <w:rPr>
                <w:rFonts w:ascii="Arial" w:hAnsi="Arial" w:cs="Arial"/>
                <w:sz w:val="22"/>
                <w:szCs w:val="22"/>
              </w:rPr>
              <w:t> </w:t>
            </w:r>
          </w:p>
        </w:tc>
        <w:tc>
          <w:tcPr>
            <w:tcW w:w="1703" w:type="dxa"/>
            <w:tcBorders>
              <w:top w:val="single" w:sz="4" w:space="0" w:color="auto"/>
              <w:left w:val="nil"/>
              <w:bottom w:val="double" w:sz="4" w:space="0" w:color="auto"/>
              <w:right w:val="nil"/>
            </w:tcBorders>
            <w:shd w:val="clear" w:color="auto" w:fill="auto"/>
            <w:vAlign w:val="center"/>
          </w:tcPr>
          <w:p w14:paraId="41759A66" w14:textId="70BAB2B6" w:rsidR="004E5C33" w:rsidRPr="00495094" w:rsidRDefault="004E5C33" w:rsidP="00445889">
            <w:pPr>
              <w:ind w:right="25"/>
              <w:jc w:val="right"/>
              <w:rPr>
                <w:rFonts w:ascii="Arial" w:hAnsi="Arial" w:cs="Arial"/>
                <w:sz w:val="22"/>
                <w:szCs w:val="22"/>
              </w:rPr>
            </w:pPr>
            <w:r w:rsidRPr="00495094">
              <w:rPr>
                <w:rFonts w:ascii="Arial" w:hAnsi="Arial" w:cs="Arial"/>
                <w:sz w:val="22"/>
                <w:szCs w:val="22"/>
              </w:rPr>
              <w:t>1</w:t>
            </w:r>
            <w:r w:rsidR="00523DBB" w:rsidRPr="00495094">
              <w:rPr>
                <w:rFonts w:ascii="Arial" w:hAnsi="Arial" w:cs="Arial"/>
                <w:sz w:val="22"/>
                <w:szCs w:val="22"/>
              </w:rPr>
              <w:t>9</w:t>
            </w:r>
            <w:r w:rsidRPr="00495094">
              <w:rPr>
                <w:rFonts w:ascii="Arial" w:hAnsi="Arial" w:cs="Arial"/>
                <w:sz w:val="22"/>
                <w:szCs w:val="22"/>
              </w:rPr>
              <w:t>,</w:t>
            </w:r>
            <w:r w:rsidR="00523DBB" w:rsidRPr="00495094">
              <w:rPr>
                <w:rFonts w:ascii="Arial" w:hAnsi="Arial" w:cs="Arial"/>
                <w:sz w:val="22"/>
                <w:szCs w:val="22"/>
              </w:rPr>
              <w:t>615</w:t>
            </w:r>
            <w:r w:rsidRPr="00495094">
              <w:rPr>
                <w:rFonts w:ascii="Arial" w:hAnsi="Arial" w:cs="Arial"/>
                <w:sz w:val="22"/>
                <w:szCs w:val="22"/>
              </w:rPr>
              <w:t>,</w:t>
            </w:r>
            <w:r w:rsidR="00523DBB" w:rsidRPr="00495094">
              <w:rPr>
                <w:rFonts w:ascii="Arial" w:hAnsi="Arial" w:cs="Arial"/>
                <w:sz w:val="22"/>
                <w:szCs w:val="22"/>
              </w:rPr>
              <w:t>8</w:t>
            </w:r>
            <w:r w:rsidR="00445889" w:rsidRPr="00495094">
              <w:rPr>
                <w:rFonts w:ascii="Arial" w:hAnsi="Arial" w:cs="Arial"/>
                <w:sz w:val="22"/>
                <w:szCs w:val="22"/>
              </w:rPr>
              <w:t>16</w:t>
            </w:r>
          </w:p>
        </w:tc>
        <w:tc>
          <w:tcPr>
            <w:tcW w:w="1703" w:type="dxa"/>
            <w:tcBorders>
              <w:top w:val="single" w:sz="4" w:space="0" w:color="auto"/>
              <w:left w:val="nil"/>
              <w:bottom w:val="double" w:sz="4" w:space="0" w:color="auto"/>
              <w:right w:val="nil"/>
            </w:tcBorders>
            <w:shd w:val="clear" w:color="auto" w:fill="auto"/>
            <w:vAlign w:val="center"/>
          </w:tcPr>
          <w:p w14:paraId="57B12274" w14:textId="2BE6071B" w:rsidR="004E5C33" w:rsidRPr="00495094" w:rsidRDefault="00523DBB" w:rsidP="001F30F9">
            <w:pPr>
              <w:jc w:val="right"/>
              <w:rPr>
                <w:rFonts w:ascii="Arial" w:hAnsi="Arial" w:cs="Arial"/>
                <w:sz w:val="22"/>
                <w:szCs w:val="22"/>
              </w:rPr>
            </w:pPr>
            <w:r w:rsidRPr="00495094">
              <w:rPr>
                <w:rFonts w:ascii="Arial" w:hAnsi="Arial" w:cs="Arial"/>
                <w:sz w:val="22"/>
                <w:szCs w:val="22"/>
              </w:rPr>
              <w:t>18,003,</w:t>
            </w:r>
            <w:r w:rsidR="001F30F9" w:rsidRPr="00495094">
              <w:rPr>
                <w:rFonts w:ascii="Arial" w:hAnsi="Arial" w:cs="Arial"/>
                <w:sz w:val="22"/>
                <w:szCs w:val="22"/>
              </w:rPr>
              <w:t>493</w:t>
            </w:r>
          </w:p>
        </w:tc>
      </w:tr>
    </w:tbl>
    <w:p w14:paraId="25FEB703" w14:textId="77777777" w:rsidR="0065653F" w:rsidRPr="00495094" w:rsidRDefault="0065653F" w:rsidP="005170B0">
      <w:pPr>
        <w:pStyle w:val="BodyTextIndent"/>
        <w:ind w:left="0"/>
        <w:rPr>
          <w:rFonts w:ascii="Arial" w:hAnsi="Arial" w:cs="Arial"/>
          <w:b/>
          <w:bCs/>
          <w:sz w:val="22"/>
          <w:szCs w:val="22"/>
        </w:rPr>
      </w:pPr>
    </w:p>
    <w:p w14:paraId="1EBCF02D" w14:textId="69001EA4" w:rsidR="006D37E3" w:rsidRPr="00495094" w:rsidRDefault="00B34369" w:rsidP="007F4EEC">
      <w:pPr>
        <w:pStyle w:val="BodyTextIndent"/>
        <w:numPr>
          <w:ilvl w:val="0"/>
          <w:numId w:val="12"/>
        </w:numPr>
        <w:ind w:left="720"/>
        <w:rPr>
          <w:rFonts w:ascii="Arial" w:hAnsi="Arial" w:cs="Arial"/>
          <w:b/>
          <w:bCs/>
          <w:sz w:val="22"/>
          <w:szCs w:val="22"/>
        </w:rPr>
      </w:pPr>
      <w:r w:rsidRPr="00495094">
        <w:rPr>
          <w:rFonts w:ascii="Arial" w:hAnsi="Arial" w:cs="Arial"/>
          <w:b/>
          <w:bCs/>
          <w:sz w:val="22"/>
          <w:szCs w:val="22"/>
        </w:rPr>
        <w:t>Other Assets</w:t>
      </w:r>
      <w:r w:rsidR="00262187" w:rsidRPr="00495094">
        <w:rPr>
          <w:rFonts w:ascii="Arial" w:hAnsi="Arial" w:cs="Arial"/>
          <w:b/>
          <w:bCs/>
          <w:sz w:val="22"/>
          <w:szCs w:val="22"/>
        </w:rPr>
        <w:t xml:space="preserve"> - net</w:t>
      </w:r>
    </w:p>
    <w:p w14:paraId="5156C3D7" w14:textId="77777777" w:rsidR="006D37E3" w:rsidRPr="00495094" w:rsidRDefault="006D37E3" w:rsidP="008D0E35">
      <w:pPr>
        <w:ind w:left="360"/>
        <w:rPr>
          <w:rFonts w:ascii="Arial" w:hAnsi="Arial" w:cs="Arial"/>
          <w:sz w:val="22"/>
          <w:szCs w:val="22"/>
        </w:rPr>
      </w:pPr>
    </w:p>
    <w:p w14:paraId="08A3F29D" w14:textId="77777777" w:rsidR="006D37E3" w:rsidRPr="00495094" w:rsidRDefault="006D37E3" w:rsidP="008D0E35">
      <w:pPr>
        <w:rPr>
          <w:rFonts w:ascii="Arial" w:hAnsi="Arial" w:cs="Arial"/>
          <w:sz w:val="22"/>
          <w:szCs w:val="22"/>
        </w:rPr>
      </w:pPr>
      <w:r w:rsidRPr="00495094">
        <w:rPr>
          <w:rFonts w:ascii="Arial" w:hAnsi="Arial" w:cs="Arial"/>
          <w:sz w:val="22"/>
          <w:szCs w:val="22"/>
        </w:rPr>
        <w:t>This account is composed of the following:</w:t>
      </w:r>
    </w:p>
    <w:p w14:paraId="149F2CE8" w14:textId="77777777" w:rsidR="00C070B2" w:rsidRPr="00495094" w:rsidRDefault="00C070B2" w:rsidP="008D0E35">
      <w:pPr>
        <w:rPr>
          <w:rFonts w:ascii="Arial" w:hAnsi="Arial" w:cs="Arial"/>
          <w:sz w:val="22"/>
          <w:szCs w:val="22"/>
        </w:rPr>
      </w:pPr>
    </w:p>
    <w:tbl>
      <w:tblPr>
        <w:tblW w:w="8622" w:type="dxa"/>
        <w:tblInd w:w="108" w:type="dxa"/>
        <w:tblLook w:val="04A0" w:firstRow="1" w:lastRow="0" w:firstColumn="1" w:lastColumn="0" w:noHBand="0" w:noVBand="1"/>
      </w:tblPr>
      <w:tblGrid>
        <w:gridCol w:w="5126"/>
        <w:gridCol w:w="1703"/>
        <w:gridCol w:w="1793"/>
      </w:tblGrid>
      <w:tr w:rsidR="00495094" w:rsidRPr="00495094" w14:paraId="7E300BF9" w14:textId="77777777" w:rsidTr="009112CA">
        <w:trPr>
          <w:tblHeader/>
        </w:trPr>
        <w:tc>
          <w:tcPr>
            <w:tcW w:w="5126" w:type="dxa"/>
            <w:tcBorders>
              <w:top w:val="single" w:sz="4" w:space="0" w:color="auto"/>
              <w:left w:val="nil"/>
              <w:bottom w:val="single" w:sz="4" w:space="0" w:color="auto"/>
              <w:right w:val="nil"/>
            </w:tcBorders>
            <w:shd w:val="clear" w:color="auto" w:fill="auto"/>
            <w:vAlign w:val="center"/>
          </w:tcPr>
          <w:p w14:paraId="398A78C7" w14:textId="77777777" w:rsidR="00C070B2" w:rsidRPr="00495094" w:rsidRDefault="00C070B2" w:rsidP="00EC575A">
            <w:pPr>
              <w:rPr>
                <w:rFonts w:ascii="Arial" w:hAnsi="Arial" w:cs="Arial"/>
                <w:sz w:val="22"/>
                <w:szCs w:val="22"/>
                <w:lang w:val="en-PH" w:eastAsia="en-PH"/>
              </w:rPr>
            </w:pPr>
            <w:r w:rsidRPr="00495094">
              <w:rPr>
                <w:rFonts w:ascii="Arial" w:hAnsi="Arial" w:cs="Arial"/>
                <w:sz w:val="22"/>
                <w:szCs w:val="22"/>
              </w:rPr>
              <w:t> </w:t>
            </w:r>
          </w:p>
        </w:tc>
        <w:tc>
          <w:tcPr>
            <w:tcW w:w="1703" w:type="dxa"/>
            <w:tcBorders>
              <w:top w:val="single" w:sz="4" w:space="0" w:color="auto"/>
              <w:left w:val="nil"/>
              <w:bottom w:val="single" w:sz="4" w:space="0" w:color="auto"/>
              <w:right w:val="nil"/>
            </w:tcBorders>
            <w:shd w:val="clear" w:color="auto" w:fill="auto"/>
          </w:tcPr>
          <w:p w14:paraId="1048427D" w14:textId="72ED0DAD" w:rsidR="00C070B2" w:rsidRPr="00495094" w:rsidRDefault="004E5C33" w:rsidP="008D1F29">
            <w:pPr>
              <w:jc w:val="center"/>
              <w:rPr>
                <w:rFonts w:ascii="Arial" w:hAnsi="Arial" w:cs="Arial"/>
                <w:b/>
                <w:bCs/>
                <w:sz w:val="22"/>
                <w:szCs w:val="22"/>
              </w:rPr>
            </w:pPr>
            <w:r w:rsidRPr="00495094">
              <w:rPr>
                <w:rFonts w:ascii="Arial" w:hAnsi="Arial" w:cs="Arial"/>
                <w:b/>
                <w:bCs/>
                <w:sz w:val="22"/>
                <w:szCs w:val="22"/>
              </w:rPr>
              <w:t>202</w:t>
            </w:r>
            <w:r w:rsidR="008D1F29" w:rsidRPr="00495094">
              <w:rPr>
                <w:rFonts w:ascii="Arial" w:hAnsi="Arial" w:cs="Arial"/>
                <w:b/>
                <w:bCs/>
                <w:sz w:val="22"/>
                <w:szCs w:val="22"/>
              </w:rPr>
              <w:t>2</w:t>
            </w:r>
          </w:p>
        </w:tc>
        <w:tc>
          <w:tcPr>
            <w:tcW w:w="1793" w:type="dxa"/>
            <w:tcBorders>
              <w:top w:val="single" w:sz="4" w:space="0" w:color="auto"/>
              <w:left w:val="nil"/>
              <w:bottom w:val="single" w:sz="4" w:space="0" w:color="auto"/>
              <w:right w:val="nil"/>
            </w:tcBorders>
            <w:shd w:val="clear" w:color="auto" w:fill="auto"/>
            <w:vAlign w:val="center"/>
          </w:tcPr>
          <w:p w14:paraId="3B2D1804" w14:textId="77777777" w:rsidR="00076DC5" w:rsidRPr="00495094" w:rsidRDefault="00523DBB" w:rsidP="004E5C33">
            <w:pPr>
              <w:jc w:val="center"/>
              <w:rPr>
                <w:rFonts w:ascii="Arial" w:hAnsi="Arial" w:cs="Arial"/>
                <w:b/>
                <w:bCs/>
                <w:sz w:val="22"/>
                <w:szCs w:val="22"/>
              </w:rPr>
            </w:pPr>
            <w:r w:rsidRPr="00495094">
              <w:rPr>
                <w:rFonts w:ascii="Arial" w:hAnsi="Arial" w:cs="Arial"/>
                <w:b/>
                <w:bCs/>
                <w:sz w:val="22"/>
                <w:szCs w:val="22"/>
              </w:rPr>
              <w:t>2021</w:t>
            </w:r>
            <w:r w:rsidR="00076DC5" w:rsidRPr="00495094">
              <w:rPr>
                <w:rFonts w:ascii="Arial" w:hAnsi="Arial" w:cs="Arial"/>
                <w:b/>
                <w:bCs/>
                <w:sz w:val="22"/>
                <w:szCs w:val="22"/>
              </w:rPr>
              <w:t xml:space="preserve"> </w:t>
            </w:r>
          </w:p>
          <w:p w14:paraId="3F2B60DE" w14:textId="4BFF1650" w:rsidR="002C48A3" w:rsidRPr="00495094" w:rsidRDefault="00076DC5" w:rsidP="004E5C33">
            <w:pPr>
              <w:jc w:val="center"/>
              <w:rPr>
                <w:rFonts w:ascii="Arial" w:hAnsi="Arial" w:cs="Arial"/>
                <w:b/>
                <w:bCs/>
                <w:sz w:val="22"/>
                <w:szCs w:val="22"/>
              </w:rPr>
            </w:pPr>
            <w:r w:rsidRPr="00495094">
              <w:rPr>
                <w:rFonts w:ascii="Arial" w:hAnsi="Arial" w:cs="Arial"/>
                <w:b/>
                <w:bCs/>
                <w:sz w:val="22"/>
                <w:szCs w:val="22"/>
              </w:rPr>
              <w:t>As restated</w:t>
            </w:r>
          </w:p>
        </w:tc>
      </w:tr>
      <w:tr w:rsidR="00495094" w:rsidRPr="00495094" w14:paraId="40AB9FF3" w14:textId="77777777" w:rsidTr="009112CA">
        <w:tc>
          <w:tcPr>
            <w:tcW w:w="5126" w:type="dxa"/>
            <w:tcBorders>
              <w:top w:val="single" w:sz="4" w:space="0" w:color="auto"/>
              <w:left w:val="nil"/>
              <w:right w:val="nil"/>
            </w:tcBorders>
            <w:shd w:val="clear" w:color="auto" w:fill="auto"/>
            <w:vAlign w:val="center"/>
          </w:tcPr>
          <w:p w14:paraId="14483BCE" w14:textId="77777777" w:rsidR="004E5C33" w:rsidRPr="00495094" w:rsidRDefault="004E5C33" w:rsidP="004E5C33">
            <w:pPr>
              <w:jc w:val="left"/>
              <w:rPr>
                <w:rFonts w:ascii="Arial" w:hAnsi="Arial" w:cs="Arial"/>
                <w:sz w:val="22"/>
                <w:szCs w:val="22"/>
                <w:lang w:val="en-PH" w:eastAsia="en-PH"/>
              </w:rPr>
            </w:pPr>
            <w:bookmarkStart w:id="1" w:name="OLE_LINK1"/>
            <w:r w:rsidRPr="00495094">
              <w:rPr>
                <w:rFonts w:ascii="Arial" w:hAnsi="Arial" w:cs="Arial"/>
                <w:sz w:val="22"/>
                <w:szCs w:val="22"/>
              </w:rPr>
              <w:t>Accounts receivables</w:t>
            </w:r>
          </w:p>
        </w:tc>
        <w:tc>
          <w:tcPr>
            <w:tcW w:w="1703" w:type="dxa"/>
            <w:tcBorders>
              <w:top w:val="nil"/>
              <w:left w:val="nil"/>
              <w:bottom w:val="nil"/>
              <w:right w:val="nil"/>
            </w:tcBorders>
            <w:shd w:val="clear" w:color="auto" w:fill="auto"/>
            <w:vAlign w:val="center"/>
          </w:tcPr>
          <w:p w14:paraId="322B1A7D" w14:textId="7F6EE231" w:rsidR="004E5C33" w:rsidRPr="00495094" w:rsidRDefault="002C48A3" w:rsidP="00961AD2">
            <w:pPr>
              <w:jc w:val="right"/>
              <w:rPr>
                <w:rFonts w:ascii="Arial" w:hAnsi="Arial" w:cs="Arial"/>
                <w:sz w:val="22"/>
                <w:szCs w:val="22"/>
              </w:rPr>
            </w:pPr>
            <w:r w:rsidRPr="00495094">
              <w:rPr>
                <w:rFonts w:ascii="Arial" w:hAnsi="Arial" w:cs="Arial"/>
                <w:sz w:val="22"/>
                <w:szCs w:val="22"/>
              </w:rPr>
              <w:t>2</w:t>
            </w:r>
            <w:r w:rsidR="008D1F29" w:rsidRPr="00495094">
              <w:rPr>
                <w:rFonts w:ascii="Arial" w:hAnsi="Arial" w:cs="Arial"/>
                <w:sz w:val="22"/>
                <w:szCs w:val="22"/>
              </w:rPr>
              <w:t>5</w:t>
            </w:r>
            <w:r w:rsidR="00961AD2" w:rsidRPr="00495094">
              <w:rPr>
                <w:rFonts w:ascii="Arial" w:hAnsi="Arial" w:cs="Arial"/>
                <w:sz w:val="22"/>
                <w:szCs w:val="22"/>
              </w:rPr>
              <w:t>7</w:t>
            </w:r>
            <w:r w:rsidR="008D1F29" w:rsidRPr="00495094">
              <w:rPr>
                <w:rFonts w:ascii="Arial" w:hAnsi="Arial" w:cs="Arial"/>
                <w:sz w:val="22"/>
                <w:szCs w:val="22"/>
              </w:rPr>
              <w:t>,</w:t>
            </w:r>
            <w:r w:rsidR="00961AD2" w:rsidRPr="00495094">
              <w:rPr>
                <w:rFonts w:ascii="Arial" w:hAnsi="Arial" w:cs="Arial"/>
                <w:sz w:val="22"/>
                <w:szCs w:val="22"/>
              </w:rPr>
              <w:t>207</w:t>
            </w:r>
            <w:r w:rsidR="008D1F29" w:rsidRPr="00495094">
              <w:rPr>
                <w:rFonts w:ascii="Arial" w:hAnsi="Arial" w:cs="Arial"/>
                <w:sz w:val="22"/>
                <w:szCs w:val="22"/>
              </w:rPr>
              <w:t>,</w:t>
            </w:r>
            <w:r w:rsidR="00961AD2" w:rsidRPr="00495094">
              <w:rPr>
                <w:rFonts w:ascii="Arial" w:hAnsi="Arial" w:cs="Arial"/>
                <w:sz w:val="22"/>
                <w:szCs w:val="22"/>
              </w:rPr>
              <w:t>028</w:t>
            </w:r>
          </w:p>
        </w:tc>
        <w:tc>
          <w:tcPr>
            <w:tcW w:w="1793" w:type="dxa"/>
            <w:tcBorders>
              <w:top w:val="nil"/>
              <w:left w:val="nil"/>
              <w:bottom w:val="nil"/>
              <w:right w:val="nil"/>
            </w:tcBorders>
            <w:shd w:val="clear" w:color="auto" w:fill="auto"/>
            <w:vAlign w:val="center"/>
          </w:tcPr>
          <w:p w14:paraId="3AA40048" w14:textId="0257A5B9" w:rsidR="004E5C33" w:rsidRPr="00495094" w:rsidRDefault="00523DBB" w:rsidP="001F30F9">
            <w:pPr>
              <w:jc w:val="right"/>
              <w:rPr>
                <w:rFonts w:ascii="Arial" w:hAnsi="Arial" w:cs="Arial"/>
                <w:sz w:val="22"/>
                <w:szCs w:val="22"/>
              </w:rPr>
            </w:pPr>
            <w:r w:rsidRPr="00495094">
              <w:rPr>
                <w:rFonts w:ascii="Arial" w:hAnsi="Arial" w:cs="Arial"/>
                <w:sz w:val="22"/>
                <w:szCs w:val="22"/>
              </w:rPr>
              <w:t>20</w:t>
            </w:r>
            <w:r w:rsidR="001F30F9" w:rsidRPr="00495094">
              <w:rPr>
                <w:rFonts w:ascii="Arial" w:hAnsi="Arial" w:cs="Arial"/>
                <w:sz w:val="22"/>
                <w:szCs w:val="22"/>
              </w:rPr>
              <w:t>4</w:t>
            </w:r>
            <w:r w:rsidRPr="00495094">
              <w:rPr>
                <w:rFonts w:ascii="Arial" w:hAnsi="Arial" w:cs="Arial"/>
                <w:sz w:val="22"/>
                <w:szCs w:val="22"/>
              </w:rPr>
              <w:t>,</w:t>
            </w:r>
            <w:r w:rsidR="001F30F9" w:rsidRPr="00495094">
              <w:rPr>
                <w:rFonts w:ascii="Arial" w:hAnsi="Arial" w:cs="Arial"/>
                <w:sz w:val="22"/>
                <w:szCs w:val="22"/>
              </w:rPr>
              <w:t>56</w:t>
            </w:r>
            <w:r w:rsidRPr="00495094">
              <w:rPr>
                <w:rFonts w:ascii="Arial" w:hAnsi="Arial" w:cs="Arial"/>
                <w:sz w:val="22"/>
                <w:szCs w:val="22"/>
              </w:rPr>
              <w:t>2,6</w:t>
            </w:r>
            <w:r w:rsidR="001F30F9" w:rsidRPr="00495094">
              <w:rPr>
                <w:rFonts w:ascii="Arial" w:hAnsi="Arial" w:cs="Arial"/>
                <w:sz w:val="22"/>
                <w:szCs w:val="22"/>
              </w:rPr>
              <w:t>0</w:t>
            </w:r>
            <w:r w:rsidRPr="00495094">
              <w:rPr>
                <w:rFonts w:ascii="Arial" w:hAnsi="Arial" w:cs="Arial"/>
                <w:sz w:val="22"/>
                <w:szCs w:val="22"/>
              </w:rPr>
              <w:t>4</w:t>
            </w:r>
          </w:p>
        </w:tc>
      </w:tr>
      <w:tr w:rsidR="00495094" w:rsidRPr="00495094" w14:paraId="09DF0790" w14:textId="77777777" w:rsidTr="00076DC5">
        <w:trPr>
          <w:trHeight w:val="360"/>
        </w:trPr>
        <w:tc>
          <w:tcPr>
            <w:tcW w:w="5126" w:type="dxa"/>
            <w:tcBorders>
              <w:left w:val="nil"/>
              <w:bottom w:val="nil"/>
              <w:right w:val="nil"/>
            </w:tcBorders>
            <w:shd w:val="clear" w:color="auto" w:fill="auto"/>
            <w:vAlign w:val="center"/>
          </w:tcPr>
          <w:p w14:paraId="6B6B6840" w14:textId="1874C2D9" w:rsidR="00B0039D" w:rsidRPr="00495094" w:rsidRDefault="008D1F29" w:rsidP="00B0039D">
            <w:pPr>
              <w:jc w:val="left"/>
              <w:rPr>
                <w:rFonts w:ascii="Arial" w:hAnsi="Arial" w:cs="Arial"/>
                <w:sz w:val="22"/>
                <w:szCs w:val="22"/>
              </w:rPr>
            </w:pPr>
            <w:r w:rsidRPr="00495094">
              <w:rPr>
                <w:rFonts w:ascii="Arial" w:hAnsi="Arial" w:cs="Arial"/>
                <w:sz w:val="22"/>
                <w:szCs w:val="22"/>
              </w:rPr>
              <w:t>Deferred Charges</w:t>
            </w:r>
          </w:p>
        </w:tc>
        <w:tc>
          <w:tcPr>
            <w:tcW w:w="1703" w:type="dxa"/>
            <w:tcBorders>
              <w:top w:val="nil"/>
              <w:left w:val="nil"/>
              <w:bottom w:val="nil"/>
              <w:right w:val="nil"/>
            </w:tcBorders>
            <w:shd w:val="clear" w:color="auto" w:fill="auto"/>
            <w:vAlign w:val="center"/>
          </w:tcPr>
          <w:p w14:paraId="128B4648" w14:textId="57A4FC62" w:rsidR="00B0039D" w:rsidRPr="00495094" w:rsidRDefault="008D1F29" w:rsidP="00B0039D">
            <w:pPr>
              <w:jc w:val="right"/>
              <w:rPr>
                <w:rFonts w:ascii="Arial" w:hAnsi="Arial" w:cs="Arial"/>
                <w:sz w:val="22"/>
                <w:szCs w:val="22"/>
              </w:rPr>
            </w:pPr>
            <w:r w:rsidRPr="00495094">
              <w:rPr>
                <w:rFonts w:ascii="Arial" w:hAnsi="Arial" w:cs="Arial"/>
                <w:sz w:val="22"/>
                <w:szCs w:val="22"/>
              </w:rPr>
              <w:t>16,647,965</w:t>
            </w:r>
          </w:p>
        </w:tc>
        <w:tc>
          <w:tcPr>
            <w:tcW w:w="1793" w:type="dxa"/>
            <w:tcBorders>
              <w:top w:val="nil"/>
              <w:left w:val="nil"/>
              <w:bottom w:val="nil"/>
              <w:right w:val="nil"/>
            </w:tcBorders>
            <w:shd w:val="clear" w:color="auto" w:fill="auto"/>
            <w:vAlign w:val="center"/>
          </w:tcPr>
          <w:p w14:paraId="0413E258" w14:textId="1FF30598" w:rsidR="00B0039D" w:rsidRPr="00495094" w:rsidRDefault="00523DBB" w:rsidP="00523DBB">
            <w:pPr>
              <w:jc w:val="right"/>
              <w:rPr>
                <w:rFonts w:ascii="Arial" w:hAnsi="Arial" w:cs="Arial"/>
                <w:sz w:val="22"/>
                <w:szCs w:val="22"/>
              </w:rPr>
            </w:pPr>
            <w:r w:rsidRPr="00495094">
              <w:rPr>
                <w:rFonts w:ascii="Arial" w:hAnsi="Arial" w:cs="Arial"/>
                <w:sz w:val="22"/>
                <w:szCs w:val="22"/>
              </w:rPr>
              <w:t>0</w:t>
            </w:r>
          </w:p>
        </w:tc>
      </w:tr>
      <w:tr w:rsidR="00495094" w:rsidRPr="00495094" w14:paraId="3E31B152" w14:textId="77777777" w:rsidTr="003315ED">
        <w:trPr>
          <w:trHeight w:val="162"/>
        </w:trPr>
        <w:tc>
          <w:tcPr>
            <w:tcW w:w="5126" w:type="dxa"/>
            <w:tcBorders>
              <w:left w:val="nil"/>
              <w:bottom w:val="nil"/>
              <w:right w:val="nil"/>
            </w:tcBorders>
            <w:shd w:val="clear" w:color="auto" w:fill="auto"/>
            <w:vAlign w:val="center"/>
          </w:tcPr>
          <w:p w14:paraId="2D53F2D2" w14:textId="3CC40A3C" w:rsidR="008D1F29" w:rsidRPr="00495094" w:rsidRDefault="008D1F29" w:rsidP="00B0039D">
            <w:pPr>
              <w:jc w:val="left"/>
              <w:rPr>
                <w:rFonts w:ascii="Arial" w:hAnsi="Arial" w:cs="Arial"/>
                <w:sz w:val="22"/>
                <w:szCs w:val="22"/>
              </w:rPr>
            </w:pPr>
            <w:r w:rsidRPr="00495094">
              <w:rPr>
                <w:rFonts w:ascii="Arial" w:hAnsi="Arial" w:cs="Arial"/>
                <w:sz w:val="22"/>
                <w:szCs w:val="22"/>
              </w:rPr>
              <w:t xml:space="preserve">Stationery and supplies on hand                                                                </w:t>
            </w:r>
          </w:p>
        </w:tc>
        <w:tc>
          <w:tcPr>
            <w:tcW w:w="1703" w:type="dxa"/>
            <w:tcBorders>
              <w:top w:val="nil"/>
              <w:left w:val="nil"/>
              <w:bottom w:val="nil"/>
              <w:right w:val="nil"/>
            </w:tcBorders>
            <w:shd w:val="clear" w:color="auto" w:fill="auto"/>
            <w:vAlign w:val="center"/>
          </w:tcPr>
          <w:p w14:paraId="089723C8" w14:textId="7E82E1F1" w:rsidR="008D1F29" w:rsidRPr="00495094" w:rsidRDefault="008D1F29" w:rsidP="008F2C5E">
            <w:pPr>
              <w:jc w:val="right"/>
              <w:rPr>
                <w:rFonts w:ascii="Arial" w:hAnsi="Arial" w:cs="Arial"/>
                <w:sz w:val="22"/>
                <w:szCs w:val="22"/>
              </w:rPr>
            </w:pPr>
            <w:r w:rsidRPr="00495094">
              <w:rPr>
                <w:rFonts w:ascii="Arial" w:hAnsi="Arial" w:cs="Arial"/>
                <w:sz w:val="22"/>
                <w:szCs w:val="22"/>
              </w:rPr>
              <w:t>870,04</w:t>
            </w:r>
            <w:r w:rsidR="0051778A" w:rsidRPr="00495094">
              <w:rPr>
                <w:rFonts w:ascii="Arial" w:hAnsi="Arial" w:cs="Arial"/>
                <w:sz w:val="22"/>
                <w:szCs w:val="22"/>
              </w:rPr>
              <w:t>2</w:t>
            </w:r>
          </w:p>
        </w:tc>
        <w:tc>
          <w:tcPr>
            <w:tcW w:w="1793" w:type="dxa"/>
            <w:tcBorders>
              <w:top w:val="nil"/>
              <w:left w:val="nil"/>
              <w:bottom w:val="nil"/>
              <w:right w:val="nil"/>
            </w:tcBorders>
            <w:shd w:val="clear" w:color="auto" w:fill="auto"/>
            <w:vAlign w:val="center"/>
          </w:tcPr>
          <w:p w14:paraId="294459B1" w14:textId="6F733150" w:rsidR="008D1F29" w:rsidRPr="00495094" w:rsidRDefault="008D1F29" w:rsidP="00523DBB">
            <w:pPr>
              <w:jc w:val="right"/>
              <w:rPr>
                <w:rFonts w:ascii="Arial" w:hAnsi="Arial" w:cs="Arial"/>
                <w:sz w:val="22"/>
                <w:szCs w:val="22"/>
              </w:rPr>
            </w:pPr>
            <w:r w:rsidRPr="00495094">
              <w:rPr>
                <w:rFonts w:ascii="Arial" w:hAnsi="Arial" w:cs="Arial"/>
                <w:sz w:val="22"/>
                <w:szCs w:val="22"/>
              </w:rPr>
              <w:t>1,397,390</w:t>
            </w:r>
          </w:p>
        </w:tc>
      </w:tr>
      <w:tr w:rsidR="00495094" w:rsidRPr="00495094" w14:paraId="7CE35CF4" w14:textId="77777777" w:rsidTr="009112CA">
        <w:tc>
          <w:tcPr>
            <w:tcW w:w="5126" w:type="dxa"/>
            <w:tcBorders>
              <w:top w:val="nil"/>
              <w:left w:val="nil"/>
              <w:bottom w:val="nil"/>
              <w:right w:val="nil"/>
            </w:tcBorders>
            <w:shd w:val="clear" w:color="auto" w:fill="auto"/>
            <w:vAlign w:val="center"/>
          </w:tcPr>
          <w:p w14:paraId="1324064C" w14:textId="77777777" w:rsidR="00B0039D" w:rsidRPr="00495094" w:rsidRDefault="00B0039D" w:rsidP="00B0039D">
            <w:pPr>
              <w:jc w:val="left"/>
              <w:rPr>
                <w:rFonts w:ascii="Arial" w:hAnsi="Arial" w:cs="Arial"/>
                <w:sz w:val="22"/>
                <w:szCs w:val="22"/>
              </w:rPr>
            </w:pPr>
            <w:r w:rsidRPr="00495094">
              <w:rPr>
                <w:rFonts w:ascii="Arial" w:hAnsi="Arial" w:cs="Arial"/>
                <w:sz w:val="22"/>
                <w:szCs w:val="22"/>
              </w:rPr>
              <w:t>Accrued interest income from financial assets</w:t>
            </w:r>
          </w:p>
        </w:tc>
        <w:tc>
          <w:tcPr>
            <w:tcW w:w="1703" w:type="dxa"/>
            <w:tcBorders>
              <w:top w:val="nil"/>
              <w:left w:val="nil"/>
              <w:bottom w:val="nil"/>
              <w:right w:val="nil"/>
            </w:tcBorders>
            <w:shd w:val="clear" w:color="auto" w:fill="auto"/>
            <w:vAlign w:val="center"/>
          </w:tcPr>
          <w:p w14:paraId="68123CFE" w14:textId="0FB091E9" w:rsidR="00B0039D" w:rsidRPr="00495094" w:rsidRDefault="008D1F29" w:rsidP="00961AD2">
            <w:pPr>
              <w:jc w:val="right"/>
              <w:rPr>
                <w:rFonts w:ascii="Arial" w:hAnsi="Arial" w:cs="Arial"/>
                <w:sz w:val="22"/>
                <w:szCs w:val="22"/>
              </w:rPr>
            </w:pPr>
            <w:r w:rsidRPr="00495094">
              <w:rPr>
                <w:rFonts w:ascii="Arial" w:hAnsi="Arial" w:cs="Arial"/>
                <w:sz w:val="22"/>
                <w:szCs w:val="22"/>
              </w:rPr>
              <w:t>10</w:t>
            </w:r>
            <w:r w:rsidR="00B0039D" w:rsidRPr="00495094">
              <w:rPr>
                <w:rFonts w:ascii="Arial" w:hAnsi="Arial" w:cs="Arial"/>
                <w:sz w:val="22"/>
                <w:szCs w:val="22"/>
              </w:rPr>
              <w:t>,</w:t>
            </w:r>
            <w:r w:rsidR="00961AD2" w:rsidRPr="00495094">
              <w:rPr>
                <w:rFonts w:ascii="Arial" w:hAnsi="Arial" w:cs="Arial"/>
                <w:sz w:val="22"/>
                <w:szCs w:val="22"/>
              </w:rPr>
              <w:t>299,444</w:t>
            </w:r>
          </w:p>
        </w:tc>
        <w:tc>
          <w:tcPr>
            <w:tcW w:w="1793" w:type="dxa"/>
            <w:tcBorders>
              <w:top w:val="nil"/>
              <w:left w:val="nil"/>
              <w:bottom w:val="nil"/>
              <w:right w:val="nil"/>
            </w:tcBorders>
            <w:shd w:val="clear" w:color="auto" w:fill="auto"/>
            <w:vAlign w:val="center"/>
          </w:tcPr>
          <w:p w14:paraId="1EBABCA2" w14:textId="3F7990C0" w:rsidR="00B0039D" w:rsidRPr="00495094" w:rsidRDefault="00523DBB" w:rsidP="008F2C5E">
            <w:pPr>
              <w:jc w:val="right"/>
              <w:rPr>
                <w:rFonts w:ascii="Arial" w:hAnsi="Arial" w:cs="Arial"/>
                <w:sz w:val="22"/>
                <w:szCs w:val="22"/>
              </w:rPr>
            </w:pPr>
            <w:r w:rsidRPr="00495094">
              <w:rPr>
                <w:rFonts w:ascii="Arial" w:hAnsi="Arial" w:cs="Arial"/>
                <w:sz w:val="22"/>
                <w:szCs w:val="22"/>
              </w:rPr>
              <w:t>1,219,49</w:t>
            </w:r>
            <w:r w:rsidR="008F2C5E" w:rsidRPr="00495094">
              <w:rPr>
                <w:rFonts w:ascii="Arial" w:hAnsi="Arial" w:cs="Arial"/>
                <w:sz w:val="22"/>
                <w:szCs w:val="22"/>
              </w:rPr>
              <w:t>1</w:t>
            </w:r>
          </w:p>
        </w:tc>
      </w:tr>
      <w:tr w:rsidR="00495094" w:rsidRPr="00495094" w14:paraId="1090D1A4" w14:textId="77777777" w:rsidTr="009112CA">
        <w:tc>
          <w:tcPr>
            <w:tcW w:w="5126" w:type="dxa"/>
            <w:tcBorders>
              <w:top w:val="nil"/>
              <w:left w:val="nil"/>
              <w:bottom w:val="nil"/>
              <w:right w:val="nil"/>
            </w:tcBorders>
            <w:shd w:val="clear" w:color="auto" w:fill="auto"/>
            <w:vAlign w:val="center"/>
          </w:tcPr>
          <w:p w14:paraId="083B7E47" w14:textId="7C87A3E5" w:rsidR="00B0039D" w:rsidRPr="00495094" w:rsidRDefault="00B0039D" w:rsidP="00B0039D">
            <w:pPr>
              <w:jc w:val="left"/>
              <w:rPr>
                <w:rFonts w:ascii="Arial" w:hAnsi="Arial" w:cs="Arial"/>
                <w:sz w:val="22"/>
                <w:szCs w:val="22"/>
              </w:rPr>
            </w:pPr>
            <w:r w:rsidRPr="00495094">
              <w:rPr>
                <w:rFonts w:ascii="Arial" w:hAnsi="Arial" w:cs="Arial"/>
                <w:sz w:val="22"/>
                <w:szCs w:val="22"/>
              </w:rPr>
              <w:t>Prepaid expenses</w:t>
            </w:r>
          </w:p>
        </w:tc>
        <w:tc>
          <w:tcPr>
            <w:tcW w:w="1703" w:type="dxa"/>
            <w:tcBorders>
              <w:top w:val="nil"/>
              <w:left w:val="nil"/>
              <w:bottom w:val="nil"/>
              <w:right w:val="nil"/>
            </w:tcBorders>
            <w:shd w:val="clear" w:color="auto" w:fill="auto"/>
            <w:vAlign w:val="center"/>
          </w:tcPr>
          <w:p w14:paraId="6D681CF7" w14:textId="1951FEFC" w:rsidR="00B0039D" w:rsidRPr="00495094" w:rsidRDefault="008D1F29" w:rsidP="00BA2EAA">
            <w:pPr>
              <w:jc w:val="right"/>
              <w:rPr>
                <w:rFonts w:ascii="Arial" w:hAnsi="Arial" w:cs="Arial"/>
                <w:sz w:val="22"/>
                <w:szCs w:val="22"/>
              </w:rPr>
            </w:pPr>
            <w:r w:rsidRPr="00495094">
              <w:rPr>
                <w:rFonts w:ascii="Arial" w:hAnsi="Arial" w:cs="Arial"/>
                <w:sz w:val="22"/>
                <w:szCs w:val="22"/>
              </w:rPr>
              <w:t>556,68</w:t>
            </w:r>
            <w:r w:rsidR="00BA2EAA" w:rsidRPr="00495094">
              <w:rPr>
                <w:rFonts w:ascii="Arial" w:hAnsi="Arial" w:cs="Arial"/>
                <w:sz w:val="22"/>
                <w:szCs w:val="22"/>
              </w:rPr>
              <w:t>3</w:t>
            </w:r>
          </w:p>
        </w:tc>
        <w:tc>
          <w:tcPr>
            <w:tcW w:w="1793" w:type="dxa"/>
            <w:tcBorders>
              <w:top w:val="nil"/>
              <w:left w:val="nil"/>
              <w:bottom w:val="nil"/>
              <w:right w:val="nil"/>
            </w:tcBorders>
            <w:shd w:val="clear" w:color="auto" w:fill="auto"/>
            <w:vAlign w:val="center"/>
          </w:tcPr>
          <w:p w14:paraId="4E2C3241" w14:textId="766E77A5" w:rsidR="00B0039D" w:rsidRPr="00495094" w:rsidRDefault="00523DBB" w:rsidP="00B0039D">
            <w:pPr>
              <w:jc w:val="right"/>
              <w:rPr>
                <w:rFonts w:ascii="Arial" w:hAnsi="Arial" w:cs="Arial"/>
                <w:sz w:val="22"/>
                <w:szCs w:val="22"/>
              </w:rPr>
            </w:pPr>
            <w:r w:rsidRPr="00495094">
              <w:rPr>
                <w:rFonts w:ascii="Arial" w:hAnsi="Arial" w:cs="Arial"/>
                <w:sz w:val="22"/>
                <w:szCs w:val="22"/>
              </w:rPr>
              <w:t>895,894</w:t>
            </w:r>
          </w:p>
        </w:tc>
      </w:tr>
      <w:tr w:rsidR="00495094" w:rsidRPr="00495094" w14:paraId="3D60470B" w14:textId="77777777" w:rsidTr="009112CA">
        <w:tc>
          <w:tcPr>
            <w:tcW w:w="5126" w:type="dxa"/>
            <w:tcBorders>
              <w:top w:val="nil"/>
              <w:left w:val="nil"/>
              <w:bottom w:val="nil"/>
              <w:right w:val="nil"/>
            </w:tcBorders>
            <w:shd w:val="clear" w:color="auto" w:fill="auto"/>
            <w:vAlign w:val="center"/>
          </w:tcPr>
          <w:p w14:paraId="3A41CE5F" w14:textId="17080487" w:rsidR="00B0039D" w:rsidRPr="00495094" w:rsidRDefault="00B0039D" w:rsidP="00B0039D">
            <w:pPr>
              <w:jc w:val="left"/>
              <w:rPr>
                <w:rFonts w:ascii="Arial" w:hAnsi="Arial" w:cs="Arial"/>
                <w:sz w:val="22"/>
                <w:szCs w:val="22"/>
              </w:rPr>
            </w:pPr>
            <w:r w:rsidRPr="00495094">
              <w:rPr>
                <w:rFonts w:ascii="Arial" w:hAnsi="Arial" w:cs="Arial"/>
                <w:sz w:val="22"/>
                <w:szCs w:val="22"/>
              </w:rPr>
              <w:t>Documentary stamps on checks</w:t>
            </w:r>
          </w:p>
        </w:tc>
        <w:tc>
          <w:tcPr>
            <w:tcW w:w="1703" w:type="dxa"/>
            <w:tcBorders>
              <w:top w:val="nil"/>
              <w:left w:val="nil"/>
              <w:bottom w:val="nil"/>
              <w:right w:val="nil"/>
            </w:tcBorders>
            <w:shd w:val="clear" w:color="auto" w:fill="auto"/>
            <w:vAlign w:val="center"/>
          </w:tcPr>
          <w:p w14:paraId="0996F38C" w14:textId="0AD80E21" w:rsidR="00B0039D" w:rsidRPr="00495094" w:rsidRDefault="008D1F29" w:rsidP="00B0039D">
            <w:pPr>
              <w:jc w:val="right"/>
              <w:rPr>
                <w:rFonts w:ascii="Arial" w:hAnsi="Arial" w:cs="Arial"/>
                <w:sz w:val="22"/>
                <w:szCs w:val="22"/>
              </w:rPr>
            </w:pPr>
            <w:r w:rsidRPr="00495094">
              <w:rPr>
                <w:rFonts w:ascii="Arial" w:hAnsi="Arial" w:cs="Arial"/>
                <w:sz w:val="22"/>
                <w:szCs w:val="22"/>
              </w:rPr>
              <w:t>1,015,794</w:t>
            </w:r>
          </w:p>
        </w:tc>
        <w:tc>
          <w:tcPr>
            <w:tcW w:w="1793" w:type="dxa"/>
            <w:tcBorders>
              <w:top w:val="nil"/>
              <w:left w:val="nil"/>
              <w:bottom w:val="nil"/>
              <w:right w:val="nil"/>
            </w:tcBorders>
            <w:shd w:val="clear" w:color="auto" w:fill="auto"/>
            <w:vAlign w:val="center"/>
          </w:tcPr>
          <w:p w14:paraId="7F09FDF3" w14:textId="322E0154" w:rsidR="00B0039D" w:rsidRPr="00495094" w:rsidRDefault="00523DBB" w:rsidP="00B0039D">
            <w:pPr>
              <w:jc w:val="right"/>
              <w:rPr>
                <w:rFonts w:ascii="Arial" w:hAnsi="Arial" w:cs="Arial"/>
                <w:sz w:val="22"/>
                <w:szCs w:val="22"/>
              </w:rPr>
            </w:pPr>
            <w:r w:rsidRPr="00495094">
              <w:rPr>
                <w:rFonts w:ascii="Arial" w:hAnsi="Arial" w:cs="Arial"/>
                <w:sz w:val="22"/>
                <w:szCs w:val="22"/>
              </w:rPr>
              <w:t>547,756</w:t>
            </w:r>
          </w:p>
        </w:tc>
      </w:tr>
      <w:tr w:rsidR="00495094" w:rsidRPr="00495094" w14:paraId="644E7F02" w14:textId="77777777" w:rsidTr="009112CA">
        <w:tc>
          <w:tcPr>
            <w:tcW w:w="5126" w:type="dxa"/>
            <w:tcBorders>
              <w:top w:val="nil"/>
              <w:left w:val="nil"/>
              <w:bottom w:val="nil"/>
              <w:right w:val="nil"/>
            </w:tcBorders>
            <w:shd w:val="clear" w:color="auto" w:fill="auto"/>
            <w:vAlign w:val="center"/>
          </w:tcPr>
          <w:p w14:paraId="4AE01C1F" w14:textId="5E5D5761" w:rsidR="00B0039D" w:rsidRPr="00495094" w:rsidRDefault="00B0039D" w:rsidP="00B0039D">
            <w:pPr>
              <w:jc w:val="left"/>
              <w:rPr>
                <w:rFonts w:ascii="Arial" w:hAnsi="Arial" w:cs="Arial"/>
                <w:sz w:val="22"/>
                <w:szCs w:val="22"/>
              </w:rPr>
            </w:pPr>
            <w:r w:rsidRPr="00495094">
              <w:rPr>
                <w:rFonts w:ascii="Arial" w:hAnsi="Arial" w:cs="Arial"/>
                <w:sz w:val="22"/>
                <w:szCs w:val="22"/>
              </w:rPr>
              <w:t>Other investments</w:t>
            </w:r>
          </w:p>
        </w:tc>
        <w:tc>
          <w:tcPr>
            <w:tcW w:w="1703" w:type="dxa"/>
            <w:tcBorders>
              <w:top w:val="nil"/>
              <w:left w:val="nil"/>
              <w:bottom w:val="nil"/>
              <w:right w:val="nil"/>
            </w:tcBorders>
            <w:shd w:val="clear" w:color="auto" w:fill="auto"/>
            <w:vAlign w:val="center"/>
          </w:tcPr>
          <w:p w14:paraId="12A3AD5A" w14:textId="3DEE0113" w:rsidR="00B0039D" w:rsidRPr="00495094" w:rsidRDefault="00B0039D" w:rsidP="00B0039D">
            <w:pPr>
              <w:jc w:val="right"/>
              <w:rPr>
                <w:rFonts w:ascii="Arial" w:hAnsi="Arial" w:cs="Arial"/>
                <w:sz w:val="22"/>
                <w:szCs w:val="22"/>
              </w:rPr>
            </w:pPr>
            <w:r w:rsidRPr="00495094">
              <w:rPr>
                <w:rFonts w:ascii="Arial" w:hAnsi="Arial" w:cs="Arial"/>
                <w:sz w:val="22"/>
                <w:szCs w:val="22"/>
              </w:rPr>
              <w:t>153,333</w:t>
            </w:r>
          </w:p>
        </w:tc>
        <w:tc>
          <w:tcPr>
            <w:tcW w:w="1793" w:type="dxa"/>
            <w:tcBorders>
              <w:top w:val="nil"/>
              <w:left w:val="nil"/>
              <w:bottom w:val="nil"/>
              <w:right w:val="nil"/>
            </w:tcBorders>
            <w:shd w:val="clear" w:color="auto" w:fill="auto"/>
            <w:vAlign w:val="center"/>
          </w:tcPr>
          <w:p w14:paraId="2C3E123D" w14:textId="6EAC11C3" w:rsidR="00B0039D" w:rsidRPr="00495094" w:rsidRDefault="00B0039D" w:rsidP="00B0039D">
            <w:pPr>
              <w:jc w:val="right"/>
              <w:rPr>
                <w:rFonts w:ascii="Arial" w:hAnsi="Arial" w:cs="Arial"/>
                <w:sz w:val="22"/>
                <w:szCs w:val="22"/>
              </w:rPr>
            </w:pPr>
            <w:r w:rsidRPr="00495094">
              <w:rPr>
                <w:rFonts w:ascii="Arial" w:hAnsi="Arial" w:cs="Arial"/>
                <w:sz w:val="22"/>
                <w:szCs w:val="22"/>
              </w:rPr>
              <w:t>153,333</w:t>
            </w:r>
          </w:p>
        </w:tc>
      </w:tr>
      <w:tr w:rsidR="00495094" w:rsidRPr="00495094" w14:paraId="2D6A96B7" w14:textId="77777777" w:rsidTr="009112CA">
        <w:tc>
          <w:tcPr>
            <w:tcW w:w="5126" w:type="dxa"/>
            <w:tcBorders>
              <w:top w:val="nil"/>
              <w:left w:val="nil"/>
              <w:bottom w:val="nil"/>
              <w:right w:val="nil"/>
            </w:tcBorders>
            <w:shd w:val="clear" w:color="auto" w:fill="auto"/>
            <w:vAlign w:val="center"/>
          </w:tcPr>
          <w:p w14:paraId="3971EF22" w14:textId="77777777" w:rsidR="00B0039D" w:rsidRPr="00495094" w:rsidRDefault="00B0039D" w:rsidP="00B0039D">
            <w:pPr>
              <w:jc w:val="left"/>
              <w:rPr>
                <w:rFonts w:ascii="Arial" w:hAnsi="Arial" w:cs="Arial"/>
                <w:sz w:val="22"/>
                <w:szCs w:val="22"/>
              </w:rPr>
            </w:pPr>
            <w:r w:rsidRPr="00495094">
              <w:rPr>
                <w:rFonts w:ascii="Arial" w:hAnsi="Arial" w:cs="Arial"/>
                <w:sz w:val="22"/>
                <w:szCs w:val="22"/>
              </w:rPr>
              <w:t>Miscellaneous assets</w:t>
            </w:r>
          </w:p>
        </w:tc>
        <w:tc>
          <w:tcPr>
            <w:tcW w:w="1703" w:type="dxa"/>
            <w:tcBorders>
              <w:top w:val="nil"/>
              <w:left w:val="nil"/>
              <w:bottom w:val="nil"/>
              <w:right w:val="nil"/>
            </w:tcBorders>
            <w:shd w:val="clear" w:color="auto" w:fill="auto"/>
            <w:vAlign w:val="center"/>
          </w:tcPr>
          <w:p w14:paraId="62EFB3CE" w14:textId="36111ADD" w:rsidR="00B0039D" w:rsidRPr="00495094" w:rsidRDefault="00B0039D" w:rsidP="008D1F29">
            <w:pPr>
              <w:jc w:val="right"/>
              <w:rPr>
                <w:rFonts w:ascii="Arial" w:hAnsi="Arial" w:cs="Arial"/>
                <w:sz w:val="22"/>
                <w:szCs w:val="22"/>
              </w:rPr>
            </w:pPr>
            <w:r w:rsidRPr="00495094">
              <w:rPr>
                <w:rFonts w:ascii="Arial" w:hAnsi="Arial" w:cs="Arial"/>
                <w:sz w:val="22"/>
                <w:szCs w:val="22"/>
              </w:rPr>
              <w:t>10,</w:t>
            </w:r>
            <w:r w:rsidR="008D1F29" w:rsidRPr="00495094">
              <w:rPr>
                <w:rFonts w:ascii="Arial" w:hAnsi="Arial" w:cs="Arial"/>
                <w:sz w:val="22"/>
                <w:szCs w:val="22"/>
              </w:rPr>
              <w:t>206,523</w:t>
            </w:r>
          </w:p>
        </w:tc>
        <w:tc>
          <w:tcPr>
            <w:tcW w:w="1793" w:type="dxa"/>
            <w:tcBorders>
              <w:top w:val="nil"/>
              <w:left w:val="nil"/>
              <w:bottom w:val="nil"/>
              <w:right w:val="nil"/>
            </w:tcBorders>
            <w:shd w:val="clear" w:color="auto" w:fill="auto"/>
            <w:vAlign w:val="center"/>
          </w:tcPr>
          <w:p w14:paraId="20D1D87A" w14:textId="5A970857" w:rsidR="00B0039D" w:rsidRPr="00495094" w:rsidRDefault="00B0039D" w:rsidP="00E05678">
            <w:pPr>
              <w:jc w:val="right"/>
              <w:rPr>
                <w:rFonts w:ascii="Arial" w:hAnsi="Arial" w:cs="Arial"/>
                <w:sz w:val="22"/>
                <w:szCs w:val="22"/>
              </w:rPr>
            </w:pPr>
            <w:r w:rsidRPr="00495094">
              <w:rPr>
                <w:rFonts w:ascii="Arial" w:hAnsi="Arial" w:cs="Arial"/>
                <w:sz w:val="22"/>
                <w:szCs w:val="22"/>
              </w:rPr>
              <w:t>10,</w:t>
            </w:r>
            <w:r w:rsidR="00E05678" w:rsidRPr="00495094">
              <w:rPr>
                <w:rFonts w:ascii="Arial" w:hAnsi="Arial" w:cs="Arial"/>
                <w:sz w:val="22"/>
                <w:szCs w:val="22"/>
              </w:rPr>
              <w:t>523,714</w:t>
            </w:r>
          </w:p>
        </w:tc>
      </w:tr>
      <w:tr w:rsidR="00495094" w:rsidRPr="00495094" w14:paraId="60761768" w14:textId="77777777" w:rsidTr="009112CA">
        <w:tc>
          <w:tcPr>
            <w:tcW w:w="5126" w:type="dxa"/>
            <w:tcBorders>
              <w:top w:val="nil"/>
              <w:left w:val="nil"/>
              <w:bottom w:val="nil"/>
              <w:right w:val="nil"/>
            </w:tcBorders>
            <w:shd w:val="clear" w:color="auto" w:fill="auto"/>
            <w:vAlign w:val="center"/>
          </w:tcPr>
          <w:p w14:paraId="12821F69" w14:textId="77777777" w:rsidR="00B0039D" w:rsidRPr="00495094" w:rsidRDefault="00B0039D" w:rsidP="00B0039D">
            <w:pPr>
              <w:jc w:val="left"/>
              <w:rPr>
                <w:rFonts w:ascii="Arial" w:hAnsi="Arial" w:cs="Arial"/>
                <w:sz w:val="22"/>
                <w:szCs w:val="22"/>
              </w:rPr>
            </w:pPr>
            <w:r w:rsidRPr="00495094">
              <w:rPr>
                <w:rFonts w:ascii="Arial" w:hAnsi="Arial" w:cs="Arial"/>
                <w:sz w:val="22"/>
                <w:szCs w:val="22"/>
              </w:rPr>
              <w:t>Sundry debits</w:t>
            </w:r>
          </w:p>
        </w:tc>
        <w:tc>
          <w:tcPr>
            <w:tcW w:w="1703" w:type="dxa"/>
            <w:tcBorders>
              <w:top w:val="nil"/>
              <w:left w:val="nil"/>
              <w:bottom w:val="nil"/>
              <w:right w:val="nil"/>
            </w:tcBorders>
            <w:shd w:val="clear" w:color="auto" w:fill="auto"/>
            <w:vAlign w:val="center"/>
          </w:tcPr>
          <w:p w14:paraId="24FBBD1D" w14:textId="3C723064" w:rsidR="00B0039D" w:rsidRPr="00495094" w:rsidRDefault="008D1F29" w:rsidP="00B0039D">
            <w:pPr>
              <w:jc w:val="right"/>
              <w:rPr>
                <w:rFonts w:ascii="Arial" w:hAnsi="Arial" w:cs="Arial"/>
                <w:sz w:val="22"/>
                <w:szCs w:val="22"/>
              </w:rPr>
            </w:pPr>
            <w:r w:rsidRPr="00495094">
              <w:rPr>
                <w:rFonts w:ascii="Arial" w:hAnsi="Arial" w:cs="Arial"/>
                <w:sz w:val="22"/>
                <w:szCs w:val="22"/>
              </w:rPr>
              <w:t>44,274,138</w:t>
            </w:r>
          </w:p>
        </w:tc>
        <w:tc>
          <w:tcPr>
            <w:tcW w:w="1793" w:type="dxa"/>
            <w:tcBorders>
              <w:top w:val="nil"/>
              <w:left w:val="nil"/>
              <w:bottom w:val="nil"/>
              <w:right w:val="nil"/>
            </w:tcBorders>
            <w:shd w:val="clear" w:color="auto" w:fill="auto"/>
            <w:vAlign w:val="center"/>
          </w:tcPr>
          <w:p w14:paraId="6892BD53" w14:textId="49A321AA" w:rsidR="00B0039D" w:rsidRPr="00495094" w:rsidRDefault="00523DBB" w:rsidP="00B0039D">
            <w:pPr>
              <w:jc w:val="right"/>
              <w:rPr>
                <w:rFonts w:ascii="Arial" w:hAnsi="Arial" w:cs="Arial"/>
                <w:sz w:val="22"/>
                <w:szCs w:val="22"/>
              </w:rPr>
            </w:pPr>
            <w:r w:rsidRPr="00495094">
              <w:rPr>
                <w:rFonts w:ascii="Arial" w:hAnsi="Arial" w:cs="Arial"/>
                <w:sz w:val="22"/>
                <w:szCs w:val="22"/>
              </w:rPr>
              <w:t>38,746,123</w:t>
            </w:r>
          </w:p>
        </w:tc>
      </w:tr>
      <w:tr w:rsidR="00495094" w:rsidRPr="00495094" w14:paraId="19E927EA" w14:textId="77777777" w:rsidTr="009112CA">
        <w:tc>
          <w:tcPr>
            <w:tcW w:w="5126" w:type="dxa"/>
            <w:tcBorders>
              <w:top w:val="single" w:sz="4" w:space="0" w:color="auto"/>
              <w:left w:val="nil"/>
              <w:bottom w:val="nil"/>
              <w:right w:val="nil"/>
            </w:tcBorders>
            <w:shd w:val="clear" w:color="auto" w:fill="auto"/>
            <w:vAlign w:val="center"/>
          </w:tcPr>
          <w:p w14:paraId="61C776AE" w14:textId="77777777" w:rsidR="00B0039D" w:rsidRPr="00495094" w:rsidRDefault="00B0039D" w:rsidP="00B0039D">
            <w:pPr>
              <w:jc w:val="left"/>
              <w:rPr>
                <w:rFonts w:ascii="Arial" w:hAnsi="Arial" w:cs="Arial"/>
                <w:sz w:val="22"/>
                <w:szCs w:val="22"/>
              </w:rPr>
            </w:pPr>
            <w:r w:rsidRPr="00495094">
              <w:rPr>
                <w:rFonts w:ascii="Arial" w:hAnsi="Arial" w:cs="Arial"/>
                <w:sz w:val="22"/>
                <w:szCs w:val="22"/>
              </w:rPr>
              <w:t> </w:t>
            </w:r>
          </w:p>
        </w:tc>
        <w:tc>
          <w:tcPr>
            <w:tcW w:w="1703" w:type="dxa"/>
            <w:tcBorders>
              <w:top w:val="single" w:sz="4" w:space="0" w:color="auto"/>
              <w:left w:val="nil"/>
              <w:bottom w:val="nil"/>
              <w:right w:val="nil"/>
            </w:tcBorders>
            <w:shd w:val="clear" w:color="auto" w:fill="auto"/>
            <w:vAlign w:val="center"/>
          </w:tcPr>
          <w:p w14:paraId="3C20EE1E" w14:textId="61850E62" w:rsidR="00B0039D" w:rsidRPr="00495094" w:rsidRDefault="00B72708" w:rsidP="00A941C0">
            <w:pPr>
              <w:jc w:val="right"/>
              <w:rPr>
                <w:rFonts w:ascii="Arial" w:hAnsi="Arial" w:cs="Arial"/>
                <w:sz w:val="22"/>
                <w:szCs w:val="22"/>
              </w:rPr>
            </w:pPr>
            <w:r w:rsidRPr="00495094">
              <w:rPr>
                <w:rFonts w:ascii="Arial" w:hAnsi="Arial" w:cs="Arial"/>
                <w:sz w:val="22"/>
                <w:szCs w:val="22"/>
              </w:rPr>
              <w:t>34</w:t>
            </w:r>
            <w:r w:rsidR="00A941C0" w:rsidRPr="00495094">
              <w:rPr>
                <w:rFonts w:ascii="Arial" w:hAnsi="Arial" w:cs="Arial"/>
                <w:sz w:val="22"/>
                <w:szCs w:val="22"/>
              </w:rPr>
              <w:t>1</w:t>
            </w:r>
            <w:r w:rsidRPr="00495094">
              <w:rPr>
                <w:rFonts w:ascii="Arial" w:hAnsi="Arial" w:cs="Arial"/>
                <w:sz w:val="22"/>
                <w:szCs w:val="22"/>
              </w:rPr>
              <w:t>,</w:t>
            </w:r>
            <w:r w:rsidR="00A941C0" w:rsidRPr="00495094">
              <w:rPr>
                <w:rFonts w:ascii="Arial" w:hAnsi="Arial" w:cs="Arial"/>
                <w:sz w:val="22"/>
                <w:szCs w:val="22"/>
              </w:rPr>
              <w:t>230,9</w:t>
            </w:r>
            <w:r w:rsidR="0051778A" w:rsidRPr="00495094">
              <w:rPr>
                <w:rFonts w:ascii="Arial" w:hAnsi="Arial" w:cs="Arial"/>
                <w:sz w:val="22"/>
                <w:szCs w:val="22"/>
              </w:rPr>
              <w:t>50</w:t>
            </w:r>
          </w:p>
        </w:tc>
        <w:tc>
          <w:tcPr>
            <w:tcW w:w="1793" w:type="dxa"/>
            <w:tcBorders>
              <w:top w:val="single" w:sz="4" w:space="0" w:color="auto"/>
              <w:left w:val="nil"/>
              <w:bottom w:val="nil"/>
              <w:right w:val="nil"/>
            </w:tcBorders>
            <w:shd w:val="clear" w:color="auto" w:fill="auto"/>
            <w:vAlign w:val="center"/>
          </w:tcPr>
          <w:p w14:paraId="565BC6DE" w14:textId="111A9065" w:rsidR="00B0039D" w:rsidRPr="00495094" w:rsidRDefault="00B0039D">
            <w:pPr>
              <w:jc w:val="right"/>
              <w:rPr>
                <w:rFonts w:ascii="Arial" w:hAnsi="Arial" w:cs="Arial"/>
                <w:sz w:val="22"/>
                <w:szCs w:val="22"/>
              </w:rPr>
            </w:pPr>
            <w:r w:rsidRPr="00495094">
              <w:rPr>
                <w:rFonts w:ascii="Arial" w:hAnsi="Arial" w:cs="Arial"/>
                <w:sz w:val="22"/>
                <w:szCs w:val="22"/>
              </w:rPr>
              <w:t>2</w:t>
            </w:r>
            <w:r w:rsidR="00523DBB" w:rsidRPr="00495094">
              <w:rPr>
                <w:rFonts w:ascii="Arial" w:hAnsi="Arial" w:cs="Arial"/>
                <w:sz w:val="22"/>
                <w:szCs w:val="22"/>
              </w:rPr>
              <w:t>5</w:t>
            </w:r>
            <w:r w:rsidR="001F30F9" w:rsidRPr="00495094">
              <w:rPr>
                <w:rFonts w:ascii="Arial" w:hAnsi="Arial" w:cs="Arial"/>
                <w:sz w:val="22"/>
                <w:szCs w:val="22"/>
              </w:rPr>
              <w:t>8</w:t>
            </w:r>
            <w:r w:rsidR="00523DBB" w:rsidRPr="00495094">
              <w:rPr>
                <w:rFonts w:ascii="Arial" w:hAnsi="Arial" w:cs="Arial"/>
                <w:sz w:val="22"/>
                <w:szCs w:val="22"/>
              </w:rPr>
              <w:t>,</w:t>
            </w:r>
            <w:r w:rsidR="00517F6B" w:rsidRPr="00495094">
              <w:rPr>
                <w:rFonts w:ascii="Arial" w:hAnsi="Arial" w:cs="Arial"/>
                <w:sz w:val="22"/>
                <w:szCs w:val="22"/>
              </w:rPr>
              <w:t>046</w:t>
            </w:r>
            <w:r w:rsidR="00523DBB" w:rsidRPr="00495094">
              <w:rPr>
                <w:rFonts w:ascii="Arial" w:hAnsi="Arial" w:cs="Arial"/>
                <w:sz w:val="22"/>
                <w:szCs w:val="22"/>
              </w:rPr>
              <w:t>,</w:t>
            </w:r>
            <w:r w:rsidR="00517F6B" w:rsidRPr="00495094">
              <w:rPr>
                <w:rFonts w:ascii="Arial" w:hAnsi="Arial" w:cs="Arial"/>
                <w:sz w:val="22"/>
                <w:szCs w:val="22"/>
              </w:rPr>
              <w:t>305</w:t>
            </w:r>
          </w:p>
        </w:tc>
      </w:tr>
      <w:tr w:rsidR="00495094" w:rsidRPr="00495094" w14:paraId="0BB1B4CE" w14:textId="77777777" w:rsidTr="009112CA">
        <w:tc>
          <w:tcPr>
            <w:tcW w:w="5126" w:type="dxa"/>
            <w:tcBorders>
              <w:top w:val="nil"/>
              <w:left w:val="nil"/>
              <w:bottom w:val="single" w:sz="4" w:space="0" w:color="auto"/>
              <w:right w:val="nil"/>
            </w:tcBorders>
            <w:shd w:val="clear" w:color="auto" w:fill="auto"/>
            <w:vAlign w:val="center"/>
          </w:tcPr>
          <w:p w14:paraId="20ACF9C0" w14:textId="77777777" w:rsidR="00B0039D" w:rsidRPr="00495094" w:rsidRDefault="00B0039D" w:rsidP="00B0039D">
            <w:pPr>
              <w:jc w:val="left"/>
              <w:rPr>
                <w:rFonts w:ascii="Arial" w:hAnsi="Arial" w:cs="Arial"/>
                <w:sz w:val="22"/>
                <w:szCs w:val="22"/>
              </w:rPr>
            </w:pPr>
            <w:r w:rsidRPr="00495094">
              <w:rPr>
                <w:rFonts w:ascii="Arial" w:hAnsi="Arial" w:cs="Arial"/>
                <w:sz w:val="22"/>
                <w:szCs w:val="22"/>
              </w:rPr>
              <w:t>Other Assets - Allowance for Losses</w:t>
            </w:r>
          </w:p>
        </w:tc>
        <w:tc>
          <w:tcPr>
            <w:tcW w:w="1703" w:type="dxa"/>
            <w:tcBorders>
              <w:top w:val="nil"/>
              <w:left w:val="nil"/>
              <w:bottom w:val="single" w:sz="4" w:space="0" w:color="auto"/>
              <w:right w:val="nil"/>
            </w:tcBorders>
            <w:shd w:val="clear" w:color="auto" w:fill="auto"/>
            <w:vAlign w:val="center"/>
          </w:tcPr>
          <w:p w14:paraId="26F60801" w14:textId="7F556BF0" w:rsidR="00B0039D" w:rsidRPr="00495094" w:rsidRDefault="00B0039D" w:rsidP="00A33DFA">
            <w:pPr>
              <w:ind w:right="-36"/>
              <w:jc w:val="right"/>
              <w:rPr>
                <w:rFonts w:ascii="Arial" w:hAnsi="Arial" w:cs="Arial"/>
                <w:sz w:val="22"/>
                <w:szCs w:val="22"/>
              </w:rPr>
            </w:pPr>
            <w:r w:rsidRPr="00495094">
              <w:rPr>
                <w:rFonts w:ascii="Arial" w:hAnsi="Arial" w:cs="Arial"/>
                <w:sz w:val="22"/>
                <w:szCs w:val="22"/>
              </w:rPr>
              <w:t>(1</w:t>
            </w:r>
            <w:r w:rsidR="00B72708" w:rsidRPr="00495094">
              <w:rPr>
                <w:rFonts w:ascii="Arial" w:hAnsi="Arial" w:cs="Arial"/>
                <w:sz w:val="22"/>
                <w:szCs w:val="22"/>
              </w:rPr>
              <w:t>9</w:t>
            </w:r>
            <w:r w:rsidR="002E3862" w:rsidRPr="00495094">
              <w:rPr>
                <w:rFonts w:ascii="Arial" w:hAnsi="Arial" w:cs="Arial"/>
                <w:sz w:val="22"/>
                <w:szCs w:val="22"/>
              </w:rPr>
              <w:t>9</w:t>
            </w:r>
            <w:r w:rsidR="00B72708" w:rsidRPr="00495094">
              <w:rPr>
                <w:rFonts w:ascii="Arial" w:hAnsi="Arial" w:cs="Arial"/>
                <w:sz w:val="22"/>
                <w:szCs w:val="22"/>
              </w:rPr>
              <w:t>,</w:t>
            </w:r>
            <w:r w:rsidR="00A33DFA" w:rsidRPr="00495094">
              <w:rPr>
                <w:rFonts w:ascii="Arial" w:hAnsi="Arial" w:cs="Arial"/>
                <w:sz w:val="22"/>
                <w:szCs w:val="22"/>
              </w:rPr>
              <w:t>878,77</w:t>
            </w:r>
            <w:r w:rsidR="0051778A" w:rsidRPr="00495094">
              <w:rPr>
                <w:rFonts w:ascii="Arial" w:hAnsi="Arial" w:cs="Arial"/>
                <w:sz w:val="22"/>
                <w:szCs w:val="22"/>
              </w:rPr>
              <w:t>0</w:t>
            </w:r>
            <w:r w:rsidRPr="00495094">
              <w:rPr>
                <w:rFonts w:ascii="Arial" w:hAnsi="Arial" w:cs="Arial"/>
                <w:sz w:val="22"/>
                <w:szCs w:val="22"/>
              </w:rPr>
              <w:t>)</w:t>
            </w:r>
          </w:p>
        </w:tc>
        <w:tc>
          <w:tcPr>
            <w:tcW w:w="1793" w:type="dxa"/>
            <w:tcBorders>
              <w:top w:val="nil"/>
              <w:left w:val="nil"/>
              <w:bottom w:val="single" w:sz="4" w:space="0" w:color="auto"/>
              <w:right w:val="nil"/>
            </w:tcBorders>
            <w:shd w:val="clear" w:color="auto" w:fill="auto"/>
            <w:vAlign w:val="center"/>
          </w:tcPr>
          <w:p w14:paraId="479DCC41" w14:textId="6EB08839" w:rsidR="00B0039D" w:rsidRPr="00495094" w:rsidRDefault="00B0039D" w:rsidP="00523DBB">
            <w:pPr>
              <w:ind w:right="-36"/>
              <w:jc w:val="right"/>
              <w:rPr>
                <w:rFonts w:ascii="Arial" w:hAnsi="Arial" w:cs="Arial"/>
                <w:sz w:val="22"/>
                <w:szCs w:val="22"/>
                <w:highlight w:val="yellow"/>
              </w:rPr>
            </w:pPr>
            <w:r w:rsidRPr="00495094">
              <w:rPr>
                <w:rFonts w:ascii="Arial" w:hAnsi="Arial" w:cs="Arial"/>
                <w:sz w:val="22"/>
                <w:szCs w:val="22"/>
              </w:rPr>
              <w:t>(1</w:t>
            </w:r>
            <w:r w:rsidR="00523DBB" w:rsidRPr="00495094">
              <w:rPr>
                <w:rFonts w:ascii="Arial" w:hAnsi="Arial" w:cs="Arial"/>
                <w:sz w:val="22"/>
                <w:szCs w:val="22"/>
              </w:rPr>
              <w:t>62,376,076</w:t>
            </w:r>
            <w:r w:rsidRPr="00495094">
              <w:rPr>
                <w:rFonts w:ascii="Arial" w:hAnsi="Arial" w:cs="Arial"/>
                <w:sz w:val="22"/>
                <w:szCs w:val="22"/>
              </w:rPr>
              <w:t>)</w:t>
            </w:r>
          </w:p>
        </w:tc>
      </w:tr>
      <w:tr w:rsidR="00495094" w:rsidRPr="00495094" w14:paraId="2B6AA10B" w14:textId="77777777" w:rsidTr="009112CA">
        <w:tc>
          <w:tcPr>
            <w:tcW w:w="5126" w:type="dxa"/>
            <w:tcBorders>
              <w:top w:val="nil"/>
              <w:left w:val="nil"/>
              <w:bottom w:val="double" w:sz="6" w:space="0" w:color="auto"/>
              <w:right w:val="nil"/>
            </w:tcBorders>
            <w:shd w:val="clear" w:color="auto" w:fill="auto"/>
            <w:vAlign w:val="center"/>
          </w:tcPr>
          <w:p w14:paraId="3B71F87C" w14:textId="77777777" w:rsidR="00B0039D" w:rsidRPr="00495094" w:rsidRDefault="00B0039D" w:rsidP="00B0039D">
            <w:pPr>
              <w:rPr>
                <w:rFonts w:ascii="Arial" w:hAnsi="Arial" w:cs="Arial"/>
                <w:sz w:val="22"/>
                <w:szCs w:val="22"/>
              </w:rPr>
            </w:pPr>
            <w:r w:rsidRPr="00495094">
              <w:rPr>
                <w:rFonts w:ascii="Arial" w:hAnsi="Arial" w:cs="Arial"/>
                <w:sz w:val="22"/>
                <w:szCs w:val="22"/>
              </w:rPr>
              <w:t> </w:t>
            </w:r>
          </w:p>
        </w:tc>
        <w:tc>
          <w:tcPr>
            <w:tcW w:w="1703" w:type="dxa"/>
            <w:tcBorders>
              <w:top w:val="nil"/>
              <w:left w:val="nil"/>
              <w:bottom w:val="double" w:sz="6" w:space="0" w:color="auto"/>
              <w:right w:val="nil"/>
            </w:tcBorders>
            <w:shd w:val="clear" w:color="auto" w:fill="auto"/>
            <w:vAlign w:val="center"/>
          </w:tcPr>
          <w:p w14:paraId="1E5688FC" w14:textId="648FFCD6" w:rsidR="00B0039D" w:rsidRPr="00495094" w:rsidRDefault="00B72708" w:rsidP="00A941C0">
            <w:pPr>
              <w:jc w:val="right"/>
              <w:rPr>
                <w:rFonts w:ascii="Arial" w:hAnsi="Arial" w:cs="Arial"/>
                <w:bCs/>
                <w:sz w:val="22"/>
                <w:szCs w:val="22"/>
              </w:rPr>
            </w:pPr>
            <w:r w:rsidRPr="00495094">
              <w:rPr>
                <w:rFonts w:ascii="Arial" w:hAnsi="Arial" w:cs="Arial"/>
                <w:bCs/>
                <w:sz w:val="22"/>
                <w:szCs w:val="22"/>
              </w:rPr>
              <w:t>141,3</w:t>
            </w:r>
            <w:r w:rsidR="00A941C0" w:rsidRPr="00495094">
              <w:rPr>
                <w:rFonts w:ascii="Arial" w:hAnsi="Arial" w:cs="Arial"/>
                <w:bCs/>
                <w:sz w:val="22"/>
                <w:szCs w:val="22"/>
              </w:rPr>
              <w:t>52</w:t>
            </w:r>
            <w:r w:rsidRPr="00495094">
              <w:rPr>
                <w:rFonts w:ascii="Arial" w:hAnsi="Arial" w:cs="Arial"/>
                <w:bCs/>
                <w:sz w:val="22"/>
                <w:szCs w:val="22"/>
              </w:rPr>
              <w:t>,1</w:t>
            </w:r>
            <w:r w:rsidR="0051778A" w:rsidRPr="00495094">
              <w:rPr>
                <w:rFonts w:ascii="Arial" w:hAnsi="Arial" w:cs="Arial"/>
                <w:bCs/>
                <w:sz w:val="22"/>
                <w:szCs w:val="22"/>
              </w:rPr>
              <w:t>80</w:t>
            </w:r>
          </w:p>
        </w:tc>
        <w:tc>
          <w:tcPr>
            <w:tcW w:w="1793" w:type="dxa"/>
            <w:tcBorders>
              <w:top w:val="nil"/>
              <w:left w:val="nil"/>
              <w:bottom w:val="double" w:sz="6" w:space="0" w:color="auto"/>
              <w:right w:val="nil"/>
            </w:tcBorders>
            <w:shd w:val="clear" w:color="auto" w:fill="auto"/>
            <w:vAlign w:val="center"/>
          </w:tcPr>
          <w:p w14:paraId="78D20083" w14:textId="07D7FE30" w:rsidR="00B0039D" w:rsidRPr="00495094" w:rsidRDefault="00523DBB">
            <w:pPr>
              <w:jc w:val="right"/>
              <w:rPr>
                <w:rFonts w:ascii="Arial" w:hAnsi="Arial" w:cs="Arial"/>
                <w:bCs/>
                <w:sz w:val="22"/>
                <w:szCs w:val="22"/>
              </w:rPr>
            </w:pPr>
            <w:r w:rsidRPr="00495094">
              <w:rPr>
                <w:rFonts w:ascii="Arial" w:hAnsi="Arial" w:cs="Arial"/>
                <w:bCs/>
                <w:sz w:val="22"/>
                <w:szCs w:val="22"/>
              </w:rPr>
              <w:t>9</w:t>
            </w:r>
            <w:r w:rsidR="001F30F9" w:rsidRPr="00495094">
              <w:rPr>
                <w:rFonts w:ascii="Arial" w:hAnsi="Arial" w:cs="Arial"/>
                <w:bCs/>
                <w:sz w:val="22"/>
                <w:szCs w:val="22"/>
              </w:rPr>
              <w:t>5</w:t>
            </w:r>
            <w:r w:rsidRPr="00495094">
              <w:rPr>
                <w:rFonts w:ascii="Arial" w:hAnsi="Arial" w:cs="Arial"/>
                <w:bCs/>
                <w:sz w:val="22"/>
                <w:szCs w:val="22"/>
              </w:rPr>
              <w:t>,</w:t>
            </w:r>
            <w:r w:rsidR="00517F6B" w:rsidRPr="00495094">
              <w:rPr>
                <w:rFonts w:ascii="Arial" w:hAnsi="Arial" w:cs="Arial"/>
                <w:bCs/>
                <w:sz w:val="22"/>
                <w:szCs w:val="22"/>
              </w:rPr>
              <w:t>670</w:t>
            </w:r>
            <w:r w:rsidRPr="00495094">
              <w:rPr>
                <w:rFonts w:ascii="Arial" w:hAnsi="Arial" w:cs="Arial"/>
                <w:bCs/>
                <w:sz w:val="22"/>
                <w:szCs w:val="22"/>
              </w:rPr>
              <w:t>,</w:t>
            </w:r>
            <w:r w:rsidR="00517F6B" w:rsidRPr="00495094">
              <w:rPr>
                <w:rFonts w:ascii="Arial" w:hAnsi="Arial" w:cs="Arial"/>
                <w:bCs/>
                <w:sz w:val="22"/>
                <w:szCs w:val="22"/>
              </w:rPr>
              <w:t>229</w:t>
            </w:r>
          </w:p>
        </w:tc>
      </w:tr>
      <w:bookmarkEnd w:id="1"/>
    </w:tbl>
    <w:p w14:paraId="1121D693" w14:textId="77777777" w:rsidR="00B72708" w:rsidRPr="00495094" w:rsidRDefault="00B72708" w:rsidP="00F73445">
      <w:pPr>
        <w:pStyle w:val="ListParagraph"/>
        <w:tabs>
          <w:tab w:val="left" w:pos="720"/>
          <w:tab w:val="left" w:pos="8550"/>
        </w:tabs>
        <w:rPr>
          <w:bCs/>
          <w:u w:val="single"/>
        </w:rPr>
      </w:pPr>
    </w:p>
    <w:p w14:paraId="483F322B" w14:textId="5372ECB2" w:rsidR="003C5B81" w:rsidRPr="00495094" w:rsidRDefault="003C5B81" w:rsidP="00F73445">
      <w:pPr>
        <w:pStyle w:val="ListParagraph"/>
        <w:tabs>
          <w:tab w:val="left" w:pos="720"/>
          <w:tab w:val="left" w:pos="8550"/>
        </w:tabs>
        <w:rPr>
          <w:bCs/>
          <w:u w:val="single"/>
        </w:rPr>
      </w:pPr>
      <w:r w:rsidRPr="00495094">
        <w:rPr>
          <w:bCs/>
          <w:u w:val="single"/>
        </w:rPr>
        <w:t>Accounts receivable</w:t>
      </w:r>
    </w:p>
    <w:p w14:paraId="3B7470BE" w14:textId="77777777" w:rsidR="003C5B81" w:rsidRPr="00495094" w:rsidRDefault="003C5B81" w:rsidP="00F73445">
      <w:pPr>
        <w:pStyle w:val="ListParagraph"/>
        <w:tabs>
          <w:tab w:val="left" w:pos="720"/>
          <w:tab w:val="left" w:pos="8550"/>
        </w:tabs>
        <w:rPr>
          <w:bCs/>
        </w:rPr>
      </w:pPr>
    </w:p>
    <w:p w14:paraId="0DBF45CD" w14:textId="0D48C6C0" w:rsidR="007D2B2A" w:rsidRPr="00495094" w:rsidRDefault="002C48A3" w:rsidP="00F73445">
      <w:pPr>
        <w:pStyle w:val="ListParagraph"/>
        <w:tabs>
          <w:tab w:val="left" w:pos="720"/>
          <w:tab w:val="left" w:pos="8550"/>
        </w:tabs>
        <w:rPr>
          <w:bCs/>
        </w:rPr>
      </w:pPr>
      <w:r w:rsidRPr="00495094">
        <w:rPr>
          <w:bCs/>
        </w:rPr>
        <w:t xml:space="preserve">The Accounts Receivable account includes the amounts relative to cases involving former officers of </w:t>
      </w:r>
      <w:r w:rsidR="002E3862" w:rsidRPr="00495094">
        <w:rPr>
          <w:bCs/>
        </w:rPr>
        <w:t xml:space="preserve">the then </w:t>
      </w:r>
      <w:r w:rsidRPr="00495094">
        <w:rPr>
          <w:bCs/>
        </w:rPr>
        <w:t>P</w:t>
      </w:r>
      <w:r w:rsidR="00E05678" w:rsidRPr="00495094">
        <w:rPr>
          <w:bCs/>
        </w:rPr>
        <w:t>PSBI</w:t>
      </w:r>
      <w:r w:rsidRPr="00495094">
        <w:rPr>
          <w:bCs/>
        </w:rPr>
        <w:t xml:space="preserve"> branches, to wit: Sorsogo</w:t>
      </w:r>
      <w:r w:rsidR="00FB2DA1" w:rsidRPr="00495094">
        <w:rPr>
          <w:bCs/>
        </w:rPr>
        <w:t>n Branch in the amount of P4.10</w:t>
      </w:r>
      <w:r w:rsidRPr="00495094">
        <w:rPr>
          <w:bCs/>
        </w:rPr>
        <w:t xml:space="preserve"> million and Tacloban Branch of P8.6</w:t>
      </w:r>
      <w:r w:rsidR="007D2B2A" w:rsidRPr="00495094">
        <w:rPr>
          <w:bCs/>
        </w:rPr>
        <w:t>4</w:t>
      </w:r>
      <w:r w:rsidRPr="00495094">
        <w:rPr>
          <w:bCs/>
        </w:rPr>
        <w:t xml:space="preserve"> million. </w:t>
      </w:r>
      <w:r w:rsidR="005235CB" w:rsidRPr="00495094">
        <w:rPr>
          <w:bCs/>
        </w:rPr>
        <w:t xml:space="preserve"> </w:t>
      </w:r>
      <w:r w:rsidRPr="00495094">
        <w:rPr>
          <w:bCs/>
        </w:rPr>
        <w:t>Appropriate charges were filed in court.</w:t>
      </w:r>
      <w:r w:rsidR="00C070B2" w:rsidRPr="00495094">
        <w:rPr>
          <w:bCs/>
        </w:rPr>
        <w:t xml:space="preserve"> </w:t>
      </w:r>
    </w:p>
    <w:p w14:paraId="3ECE8524" w14:textId="77777777" w:rsidR="006A5102" w:rsidRPr="00495094" w:rsidRDefault="006A5102" w:rsidP="007D2B2A">
      <w:pPr>
        <w:pStyle w:val="ListParagraph"/>
        <w:tabs>
          <w:tab w:val="left" w:pos="720"/>
          <w:tab w:val="left" w:pos="8550"/>
        </w:tabs>
        <w:rPr>
          <w:bCs/>
        </w:rPr>
      </w:pPr>
    </w:p>
    <w:p w14:paraId="7B12083B" w14:textId="41B20C74" w:rsidR="007D2B2A" w:rsidRPr="00495094" w:rsidRDefault="00C070B2" w:rsidP="007D2B2A">
      <w:pPr>
        <w:pStyle w:val="ListParagraph"/>
        <w:tabs>
          <w:tab w:val="left" w:pos="720"/>
          <w:tab w:val="left" w:pos="8550"/>
        </w:tabs>
        <w:rPr>
          <w:bCs/>
        </w:rPr>
      </w:pPr>
      <w:r w:rsidRPr="00495094">
        <w:rPr>
          <w:bCs/>
        </w:rPr>
        <w:t xml:space="preserve">In addition, outstanding </w:t>
      </w:r>
      <w:r w:rsidR="00C7362E" w:rsidRPr="00495094">
        <w:rPr>
          <w:bCs/>
        </w:rPr>
        <w:t>a</w:t>
      </w:r>
      <w:r w:rsidRPr="00495094">
        <w:rPr>
          <w:bCs/>
        </w:rPr>
        <w:t>ccounts receivable from Naga branch amount</w:t>
      </w:r>
      <w:r w:rsidR="007D2B2A" w:rsidRPr="00495094">
        <w:rPr>
          <w:bCs/>
        </w:rPr>
        <w:t>ed</w:t>
      </w:r>
      <w:r w:rsidRPr="00495094">
        <w:rPr>
          <w:bCs/>
        </w:rPr>
        <w:t xml:space="preserve"> to P17</w:t>
      </w:r>
      <w:r w:rsidR="00DF70F5" w:rsidRPr="00495094">
        <w:rPr>
          <w:bCs/>
        </w:rPr>
        <w:t>9.37 million as of December 2019</w:t>
      </w:r>
      <w:r w:rsidRPr="00495094">
        <w:rPr>
          <w:bCs/>
        </w:rPr>
        <w:t xml:space="preserve"> as restitution for losses </w:t>
      </w:r>
      <w:r w:rsidR="00401B5E" w:rsidRPr="00495094">
        <w:rPr>
          <w:bCs/>
        </w:rPr>
        <w:t>appropriated</w:t>
      </w:r>
      <w:r w:rsidRPr="00495094">
        <w:rPr>
          <w:bCs/>
        </w:rPr>
        <w:t xml:space="preserve"> by a former employee.</w:t>
      </w:r>
      <w:r w:rsidR="007D2B2A" w:rsidRPr="00495094">
        <w:rPr>
          <w:bCs/>
        </w:rPr>
        <w:t xml:space="preserve">  </w:t>
      </w:r>
    </w:p>
    <w:p w14:paraId="334C8A67" w14:textId="77777777" w:rsidR="007D2B2A" w:rsidRPr="00495094" w:rsidRDefault="007D2B2A" w:rsidP="00E05678">
      <w:pPr>
        <w:pStyle w:val="ListParagraph"/>
        <w:tabs>
          <w:tab w:val="left" w:pos="720"/>
          <w:tab w:val="left" w:pos="8550"/>
        </w:tabs>
        <w:rPr>
          <w:bCs/>
        </w:rPr>
      </w:pPr>
    </w:p>
    <w:p w14:paraId="5FF3D82A" w14:textId="06E757D4" w:rsidR="00DF70F5" w:rsidRPr="00495094" w:rsidRDefault="00C070B2" w:rsidP="00023EED">
      <w:pPr>
        <w:tabs>
          <w:tab w:val="left" w:pos="8550"/>
        </w:tabs>
        <w:rPr>
          <w:rFonts w:ascii="Arial" w:hAnsi="Arial" w:cs="Arial"/>
          <w:bCs/>
          <w:sz w:val="22"/>
          <w:szCs w:val="22"/>
          <w:lang w:val="en-PH"/>
        </w:rPr>
      </w:pPr>
      <w:r w:rsidRPr="00495094">
        <w:rPr>
          <w:rFonts w:ascii="Arial" w:hAnsi="Arial" w:cs="Arial"/>
          <w:bCs/>
        </w:rPr>
        <w:t xml:space="preserve">On the last quarter of 2018, the Bank requested for staggered booking of the estimated P237.9 million provision for losses arising from Naga branch fraud. </w:t>
      </w:r>
      <w:r w:rsidR="00DF70F5" w:rsidRPr="00495094">
        <w:rPr>
          <w:rFonts w:ascii="Arial" w:hAnsi="Arial" w:cs="Arial"/>
          <w:bCs/>
          <w:sz w:val="22"/>
          <w:szCs w:val="22"/>
          <w:lang w:val="en-PH"/>
        </w:rPr>
        <w:t xml:space="preserve">On March 2019, the BSP approved the staggered booking of allowance at </w:t>
      </w:r>
      <w:r w:rsidR="00FB2DA1" w:rsidRPr="00495094">
        <w:rPr>
          <w:rFonts w:ascii="Arial" w:hAnsi="Arial" w:cs="Arial"/>
          <w:bCs/>
          <w:sz w:val="22"/>
          <w:szCs w:val="22"/>
          <w:lang w:val="en-PH"/>
        </w:rPr>
        <w:t>P11.90</w:t>
      </w:r>
      <w:r w:rsidR="00DF70F5" w:rsidRPr="00495094">
        <w:rPr>
          <w:rFonts w:ascii="Arial" w:hAnsi="Arial" w:cs="Arial"/>
          <w:bCs/>
          <w:sz w:val="22"/>
          <w:szCs w:val="22"/>
          <w:lang w:val="en-PH"/>
        </w:rPr>
        <w:t xml:space="preserve"> million quarterly starting March 31, 2019 for </w:t>
      </w:r>
      <w:r w:rsidR="00D1055F" w:rsidRPr="00495094">
        <w:rPr>
          <w:rFonts w:ascii="Arial" w:hAnsi="Arial" w:cs="Arial"/>
          <w:bCs/>
          <w:sz w:val="22"/>
          <w:szCs w:val="22"/>
          <w:lang w:val="en-PH"/>
        </w:rPr>
        <w:t>five</w:t>
      </w:r>
      <w:r w:rsidR="00DF70F5" w:rsidRPr="00495094">
        <w:rPr>
          <w:rFonts w:ascii="Arial" w:hAnsi="Arial" w:cs="Arial"/>
          <w:bCs/>
          <w:sz w:val="22"/>
          <w:szCs w:val="22"/>
          <w:lang w:val="en-PH"/>
        </w:rPr>
        <w:t xml:space="preserve"> years ending in December 2023.</w:t>
      </w:r>
    </w:p>
    <w:p w14:paraId="7B63C9B8" w14:textId="77777777" w:rsidR="008F3474" w:rsidRPr="00495094" w:rsidRDefault="008F3474" w:rsidP="008F3474">
      <w:pPr>
        <w:tabs>
          <w:tab w:val="left" w:pos="8550"/>
        </w:tabs>
        <w:rPr>
          <w:rFonts w:ascii="Arial" w:hAnsi="Arial" w:cs="Arial"/>
          <w:bCs/>
          <w:sz w:val="22"/>
          <w:szCs w:val="22"/>
          <w:u w:val="single"/>
        </w:rPr>
      </w:pPr>
    </w:p>
    <w:p w14:paraId="5E8DB0D6" w14:textId="488A6E4C" w:rsidR="00C260FC" w:rsidRPr="00495094" w:rsidRDefault="00C260FC" w:rsidP="00850F2C">
      <w:pPr>
        <w:pStyle w:val="BodyText3"/>
      </w:pPr>
      <w:r w:rsidRPr="00495094">
        <w:t xml:space="preserve">As of </w:t>
      </w:r>
      <w:r w:rsidR="005D1CED" w:rsidRPr="00495094">
        <w:t>October,</w:t>
      </w:r>
      <w:r w:rsidR="00510CB0" w:rsidRPr="00495094">
        <w:t xml:space="preserve"> </w:t>
      </w:r>
      <w:r w:rsidRPr="00495094">
        <w:t xml:space="preserve">2022, </w:t>
      </w:r>
      <w:r w:rsidR="001A2E55" w:rsidRPr="00495094">
        <w:t>a</w:t>
      </w:r>
      <w:r w:rsidRPr="00495094">
        <w:t xml:space="preserve">ccounts </w:t>
      </w:r>
      <w:r w:rsidR="001A2E55" w:rsidRPr="00495094">
        <w:t>r</w:t>
      </w:r>
      <w:r w:rsidRPr="00495094">
        <w:t>eceivable from Naga branch fraud were 100</w:t>
      </w:r>
      <w:r w:rsidR="001A2E55" w:rsidRPr="00495094">
        <w:t xml:space="preserve"> per cent</w:t>
      </w:r>
      <w:r w:rsidRPr="00495094">
        <w:t xml:space="preserve"> provided with allowance.</w:t>
      </w:r>
    </w:p>
    <w:p w14:paraId="750F0810" w14:textId="77777777" w:rsidR="00BD0BCD" w:rsidRPr="00495094" w:rsidRDefault="00BD0BCD" w:rsidP="008F3474">
      <w:pPr>
        <w:tabs>
          <w:tab w:val="left" w:pos="8550"/>
        </w:tabs>
        <w:rPr>
          <w:rFonts w:ascii="Arial" w:hAnsi="Arial" w:cs="Arial"/>
          <w:bCs/>
          <w:sz w:val="22"/>
          <w:szCs w:val="22"/>
          <w:u w:val="single"/>
        </w:rPr>
      </w:pPr>
    </w:p>
    <w:p w14:paraId="48F8A28A" w14:textId="77777777" w:rsidR="008F3474" w:rsidRPr="00495094" w:rsidRDefault="008F3474" w:rsidP="008F3474">
      <w:pPr>
        <w:tabs>
          <w:tab w:val="left" w:pos="8550"/>
        </w:tabs>
        <w:rPr>
          <w:rFonts w:ascii="Arial" w:hAnsi="Arial" w:cs="Arial"/>
          <w:bCs/>
          <w:sz w:val="22"/>
          <w:szCs w:val="22"/>
          <w:u w:val="single"/>
        </w:rPr>
      </w:pPr>
      <w:r w:rsidRPr="00495094">
        <w:rPr>
          <w:rFonts w:ascii="Arial" w:hAnsi="Arial" w:cs="Arial"/>
          <w:bCs/>
          <w:sz w:val="22"/>
          <w:szCs w:val="22"/>
          <w:u w:val="single"/>
        </w:rPr>
        <w:t>Sundry Debits</w:t>
      </w:r>
    </w:p>
    <w:p w14:paraId="0580626D" w14:textId="77777777" w:rsidR="008F3474" w:rsidRPr="00495094" w:rsidRDefault="008F3474" w:rsidP="008F3474">
      <w:pPr>
        <w:tabs>
          <w:tab w:val="left" w:pos="8550"/>
        </w:tabs>
        <w:rPr>
          <w:rFonts w:ascii="Arial" w:hAnsi="Arial" w:cs="Arial"/>
          <w:bCs/>
          <w:sz w:val="22"/>
          <w:szCs w:val="22"/>
          <w:u w:val="single"/>
        </w:rPr>
      </w:pPr>
    </w:p>
    <w:p w14:paraId="7A289185" w14:textId="165D3E46" w:rsidR="005765FD" w:rsidRPr="00495094" w:rsidRDefault="008F3474" w:rsidP="008F3474">
      <w:pPr>
        <w:tabs>
          <w:tab w:val="left" w:pos="8550"/>
        </w:tabs>
        <w:rPr>
          <w:rFonts w:ascii="Arial" w:hAnsi="Arial" w:cs="Arial"/>
          <w:bCs/>
          <w:sz w:val="22"/>
          <w:szCs w:val="22"/>
        </w:rPr>
      </w:pPr>
      <w:r w:rsidRPr="00495094">
        <w:rPr>
          <w:rFonts w:ascii="Arial" w:hAnsi="Arial" w:cs="Arial"/>
          <w:bCs/>
          <w:sz w:val="22"/>
          <w:szCs w:val="22"/>
        </w:rPr>
        <w:t xml:space="preserve">This is a temporary account used as partner clearing account on transactions resulting to inflow of funds on the Due Other Banks accounts which are cleared the next day.  </w:t>
      </w:r>
    </w:p>
    <w:p w14:paraId="122AC73E" w14:textId="77777777" w:rsidR="008F3474" w:rsidRPr="00495094" w:rsidRDefault="008F3474" w:rsidP="00C070B2">
      <w:pPr>
        <w:tabs>
          <w:tab w:val="left" w:pos="8550"/>
        </w:tabs>
        <w:rPr>
          <w:rFonts w:ascii="Arial" w:hAnsi="Arial" w:cs="Arial"/>
          <w:bCs/>
          <w:sz w:val="22"/>
          <w:szCs w:val="22"/>
          <w:u w:val="single"/>
        </w:rPr>
      </w:pPr>
    </w:p>
    <w:p w14:paraId="646DB771" w14:textId="60235AAB" w:rsidR="003C5B81" w:rsidRPr="00495094" w:rsidRDefault="003C5B81" w:rsidP="00C070B2">
      <w:pPr>
        <w:tabs>
          <w:tab w:val="left" w:pos="8550"/>
        </w:tabs>
        <w:rPr>
          <w:rFonts w:ascii="Arial" w:hAnsi="Arial" w:cs="Arial"/>
          <w:bCs/>
          <w:sz w:val="22"/>
          <w:szCs w:val="22"/>
          <w:u w:val="single"/>
        </w:rPr>
      </w:pPr>
      <w:r w:rsidRPr="00495094">
        <w:rPr>
          <w:rFonts w:ascii="Arial" w:hAnsi="Arial" w:cs="Arial"/>
          <w:bCs/>
          <w:sz w:val="22"/>
          <w:szCs w:val="22"/>
          <w:u w:val="single"/>
        </w:rPr>
        <w:t>Miscellaneous assets</w:t>
      </w:r>
    </w:p>
    <w:p w14:paraId="3C16C605" w14:textId="77777777" w:rsidR="00C7362E" w:rsidRPr="00495094" w:rsidRDefault="00C7362E" w:rsidP="00C070B2">
      <w:pPr>
        <w:tabs>
          <w:tab w:val="left" w:pos="8550"/>
        </w:tabs>
        <w:rPr>
          <w:rFonts w:ascii="Arial" w:hAnsi="Arial" w:cs="Arial"/>
          <w:bCs/>
          <w:sz w:val="22"/>
          <w:szCs w:val="22"/>
        </w:rPr>
      </w:pPr>
    </w:p>
    <w:p w14:paraId="52937F7A" w14:textId="13D67B04" w:rsidR="005D1CED" w:rsidRPr="00495094" w:rsidRDefault="00EC310A" w:rsidP="009033EC">
      <w:pPr>
        <w:tabs>
          <w:tab w:val="left" w:pos="8550"/>
        </w:tabs>
        <w:rPr>
          <w:rFonts w:ascii="Arial" w:hAnsi="Arial" w:cs="Arial"/>
          <w:bCs/>
          <w:sz w:val="22"/>
          <w:szCs w:val="22"/>
        </w:rPr>
      </w:pPr>
      <w:r w:rsidRPr="00495094">
        <w:rPr>
          <w:rFonts w:ascii="Arial" w:hAnsi="Arial" w:cs="Arial"/>
          <w:sz w:val="22"/>
          <w:szCs w:val="22"/>
        </w:rPr>
        <w:t xml:space="preserve">The account consists of various security deposits and advance rentals of building and utilities transferred from the closed branches. </w:t>
      </w:r>
      <w:r w:rsidR="00ED7F2F" w:rsidRPr="00495094">
        <w:rPr>
          <w:rFonts w:ascii="Arial" w:hAnsi="Arial" w:cs="Arial"/>
          <w:sz w:val="22"/>
          <w:szCs w:val="22"/>
        </w:rPr>
        <w:t>This account also includes the amount of P2.5</w:t>
      </w:r>
      <w:r w:rsidR="00FB2DA1" w:rsidRPr="00495094">
        <w:rPr>
          <w:rFonts w:ascii="Arial" w:hAnsi="Arial" w:cs="Arial"/>
          <w:sz w:val="22"/>
          <w:szCs w:val="22"/>
        </w:rPr>
        <w:t>7</w:t>
      </w:r>
      <w:r w:rsidR="00ED7F2F" w:rsidRPr="00495094">
        <w:rPr>
          <w:rFonts w:ascii="Arial" w:hAnsi="Arial" w:cs="Arial"/>
          <w:sz w:val="22"/>
          <w:szCs w:val="22"/>
        </w:rPr>
        <w:t xml:space="preserve"> million resulting from the payments of quarterly income tax of prior </w:t>
      </w:r>
      <w:r w:rsidR="005D1CED" w:rsidRPr="00495094">
        <w:rPr>
          <w:rFonts w:ascii="Arial" w:hAnsi="Arial" w:cs="Arial"/>
          <w:sz w:val="22"/>
          <w:szCs w:val="22"/>
        </w:rPr>
        <w:t>years’</w:t>
      </w:r>
      <w:r w:rsidR="00ED7F2F" w:rsidRPr="00495094">
        <w:rPr>
          <w:rFonts w:ascii="Arial" w:hAnsi="Arial" w:cs="Arial"/>
          <w:sz w:val="22"/>
          <w:szCs w:val="22"/>
        </w:rPr>
        <w:t xml:space="preserve"> which was recorded under Deferred Tax Assets account in CY 2019. However, the year-end operations </w:t>
      </w:r>
      <w:r w:rsidR="009604BE" w:rsidRPr="00495094">
        <w:rPr>
          <w:rFonts w:ascii="Arial" w:hAnsi="Arial" w:cs="Arial"/>
          <w:sz w:val="22"/>
          <w:szCs w:val="22"/>
        </w:rPr>
        <w:t>resulted in a loss. Said amount</w:t>
      </w:r>
      <w:r w:rsidR="00ED7F2F" w:rsidRPr="00495094">
        <w:rPr>
          <w:rFonts w:ascii="Arial" w:hAnsi="Arial" w:cs="Arial"/>
          <w:sz w:val="22"/>
          <w:szCs w:val="22"/>
        </w:rPr>
        <w:t xml:space="preserve"> shall be applied in the future payments of income tax.</w:t>
      </w:r>
      <w:r w:rsidR="00011BDF" w:rsidRPr="00495094" w:rsidDel="00011BDF">
        <w:rPr>
          <w:rFonts w:ascii="Arial" w:hAnsi="Arial" w:cs="Arial"/>
          <w:sz w:val="22"/>
          <w:szCs w:val="22"/>
        </w:rPr>
        <w:t xml:space="preserve"> </w:t>
      </w:r>
      <w:r w:rsidR="00850F2C" w:rsidRPr="00495094">
        <w:rPr>
          <w:rFonts w:ascii="Arial" w:hAnsi="Arial" w:cs="Arial"/>
          <w:sz w:val="22"/>
          <w:szCs w:val="22"/>
        </w:rPr>
        <w:t>This was utilized in the payment of MCIT for 2022 and 2021 which was treated also as miscellaneous asset-prepaid tax.</w:t>
      </w:r>
    </w:p>
    <w:p w14:paraId="6B886C47" w14:textId="77777777" w:rsidR="006D37E3" w:rsidRPr="00495094" w:rsidRDefault="00B34369" w:rsidP="007F4EEC">
      <w:pPr>
        <w:numPr>
          <w:ilvl w:val="0"/>
          <w:numId w:val="12"/>
        </w:numPr>
        <w:ind w:left="720"/>
        <w:rPr>
          <w:rFonts w:ascii="Arial" w:hAnsi="Arial" w:cs="Arial"/>
          <w:sz w:val="22"/>
          <w:szCs w:val="22"/>
        </w:rPr>
      </w:pPr>
      <w:r w:rsidRPr="00495094">
        <w:rPr>
          <w:rFonts w:ascii="Arial" w:hAnsi="Arial" w:cs="Arial"/>
          <w:b/>
          <w:bCs/>
          <w:sz w:val="22"/>
          <w:szCs w:val="22"/>
        </w:rPr>
        <w:lastRenderedPageBreak/>
        <w:t>Deposit Liabilities</w:t>
      </w:r>
    </w:p>
    <w:p w14:paraId="6BAEC060" w14:textId="77777777" w:rsidR="006D37E3" w:rsidRPr="00495094" w:rsidRDefault="006D37E3" w:rsidP="0013328D">
      <w:pPr>
        <w:rPr>
          <w:rFonts w:ascii="Arial" w:hAnsi="Arial" w:cs="Arial"/>
          <w:sz w:val="22"/>
          <w:szCs w:val="22"/>
        </w:rPr>
      </w:pPr>
    </w:p>
    <w:p w14:paraId="2A1701F6" w14:textId="77777777" w:rsidR="0013328D" w:rsidRPr="00495094" w:rsidRDefault="0013328D" w:rsidP="0013328D">
      <w:pPr>
        <w:rPr>
          <w:rFonts w:ascii="Arial" w:hAnsi="Arial" w:cs="Arial"/>
          <w:sz w:val="22"/>
          <w:szCs w:val="22"/>
        </w:rPr>
      </w:pPr>
      <w:r w:rsidRPr="00495094">
        <w:rPr>
          <w:rFonts w:ascii="Arial" w:hAnsi="Arial" w:cs="Arial"/>
          <w:sz w:val="22"/>
          <w:szCs w:val="22"/>
        </w:rPr>
        <w:t>This account is composed of the following:</w:t>
      </w:r>
    </w:p>
    <w:p w14:paraId="4FB3012C" w14:textId="77777777" w:rsidR="0013328D" w:rsidRPr="00495094" w:rsidRDefault="0013328D" w:rsidP="0013328D">
      <w:pPr>
        <w:rPr>
          <w:rFonts w:ascii="Arial" w:hAnsi="Arial" w:cs="Arial"/>
          <w:sz w:val="22"/>
          <w:szCs w:val="22"/>
        </w:rPr>
      </w:pPr>
    </w:p>
    <w:tbl>
      <w:tblPr>
        <w:tblW w:w="8256" w:type="dxa"/>
        <w:tblInd w:w="108" w:type="dxa"/>
        <w:tblLayout w:type="fixed"/>
        <w:tblLook w:val="04A0" w:firstRow="1" w:lastRow="0" w:firstColumn="1" w:lastColumn="0" w:noHBand="0" w:noVBand="1"/>
      </w:tblPr>
      <w:tblGrid>
        <w:gridCol w:w="4995"/>
        <w:gridCol w:w="1688"/>
        <w:gridCol w:w="1573"/>
      </w:tblGrid>
      <w:tr w:rsidR="00495094" w:rsidRPr="00495094" w14:paraId="4433713E" w14:textId="77777777" w:rsidTr="008B16CE">
        <w:trPr>
          <w:trHeight w:val="270"/>
          <w:tblHeader/>
        </w:trPr>
        <w:tc>
          <w:tcPr>
            <w:tcW w:w="4995" w:type="dxa"/>
            <w:tcBorders>
              <w:top w:val="single" w:sz="8" w:space="0" w:color="auto"/>
              <w:left w:val="nil"/>
              <w:bottom w:val="single" w:sz="8" w:space="0" w:color="auto"/>
              <w:right w:val="nil"/>
            </w:tcBorders>
            <w:shd w:val="clear" w:color="auto" w:fill="auto"/>
            <w:noWrap/>
            <w:vAlign w:val="center"/>
            <w:hideMark/>
          </w:tcPr>
          <w:p w14:paraId="2140E7C7" w14:textId="77777777" w:rsidR="00E30A7A" w:rsidRPr="00495094" w:rsidRDefault="00E30A7A" w:rsidP="00E30A7A">
            <w:pPr>
              <w:jc w:val="left"/>
              <w:rPr>
                <w:rFonts w:ascii="Arial" w:hAnsi="Arial" w:cs="Arial"/>
                <w:sz w:val="22"/>
                <w:szCs w:val="22"/>
                <w:lang w:val="en-PH" w:eastAsia="en-PH"/>
              </w:rPr>
            </w:pPr>
            <w:r w:rsidRPr="00495094">
              <w:rPr>
                <w:rFonts w:ascii="Arial" w:hAnsi="Arial" w:cs="Arial"/>
                <w:sz w:val="22"/>
                <w:szCs w:val="22"/>
                <w:lang w:val="en-PH" w:eastAsia="en-PH"/>
              </w:rPr>
              <w:t> </w:t>
            </w:r>
          </w:p>
        </w:tc>
        <w:tc>
          <w:tcPr>
            <w:tcW w:w="1688" w:type="dxa"/>
            <w:tcBorders>
              <w:top w:val="single" w:sz="8" w:space="0" w:color="auto"/>
              <w:left w:val="nil"/>
              <w:bottom w:val="single" w:sz="8" w:space="0" w:color="auto"/>
              <w:right w:val="nil"/>
            </w:tcBorders>
            <w:shd w:val="clear" w:color="auto" w:fill="auto"/>
            <w:vAlign w:val="center"/>
            <w:hideMark/>
          </w:tcPr>
          <w:p w14:paraId="52087B42" w14:textId="637B5569" w:rsidR="00E30A7A" w:rsidRPr="00495094" w:rsidRDefault="00721708" w:rsidP="000D4F01">
            <w:pPr>
              <w:jc w:val="center"/>
              <w:rPr>
                <w:rFonts w:ascii="Arial" w:hAnsi="Arial" w:cs="Arial"/>
                <w:b/>
                <w:bCs/>
                <w:sz w:val="22"/>
                <w:szCs w:val="22"/>
                <w:lang w:val="en-PH" w:eastAsia="en-PH"/>
              </w:rPr>
            </w:pPr>
            <w:r w:rsidRPr="00495094">
              <w:rPr>
                <w:rFonts w:ascii="Arial" w:hAnsi="Arial" w:cs="Arial"/>
                <w:b/>
                <w:bCs/>
                <w:sz w:val="22"/>
                <w:szCs w:val="22"/>
                <w:lang w:eastAsia="en-PH"/>
              </w:rPr>
              <w:t>202</w:t>
            </w:r>
            <w:r w:rsidR="000D4F01" w:rsidRPr="00495094">
              <w:rPr>
                <w:rFonts w:ascii="Arial" w:hAnsi="Arial" w:cs="Arial"/>
                <w:b/>
                <w:bCs/>
                <w:sz w:val="22"/>
                <w:szCs w:val="22"/>
                <w:lang w:eastAsia="en-PH"/>
              </w:rPr>
              <w:t>2</w:t>
            </w:r>
          </w:p>
        </w:tc>
        <w:tc>
          <w:tcPr>
            <w:tcW w:w="1573" w:type="dxa"/>
            <w:tcBorders>
              <w:top w:val="single" w:sz="8" w:space="0" w:color="auto"/>
              <w:left w:val="nil"/>
              <w:bottom w:val="single" w:sz="8" w:space="0" w:color="auto"/>
              <w:right w:val="nil"/>
            </w:tcBorders>
            <w:shd w:val="clear" w:color="auto" w:fill="auto"/>
            <w:noWrap/>
            <w:vAlign w:val="center"/>
            <w:hideMark/>
          </w:tcPr>
          <w:p w14:paraId="2A6D7522" w14:textId="66BFC051" w:rsidR="00E30A7A" w:rsidRPr="00495094" w:rsidRDefault="00EA43F4" w:rsidP="000D4F01">
            <w:pPr>
              <w:jc w:val="center"/>
              <w:rPr>
                <w:rFonts w:ascii="Arial" w:hAnsi="Arial" w:cs="Arial"/>
                <w:b/>
                <w:bCs/>
                <w:sz w:val="22"/>
                <w:szCs w:val="22"/>
                <w:lang w:val="en-PH" w:eastAsia="en-PH"/>
              </w:rPr>
            </w:pPr>
            <w:r w:rsidRPr="00495094">
              <w:rPr>
                <w:rFonts w:ascii="Arial" w:hAnsi="Arial" w:cs="Arial"/>
                <w:b/>
                <w:bCs/>
                <w:sz w:val="22"/>
                <w:szCs w:val="22"/>
                <w:lang w:val="en-PH" w:eastAsia="en-PH"/>
              </w:rPr>
              <w:t>20</w:t>
            </w:r>
            <w:r w:rsidR="00721708" w:rsidRPr="00495094">
              <w:rPr>
                <w:rFonts w:ascii="Arial" w:hAnsi="Arial" w:cs="Arial"/>
                <w:b/>
                <w:bCs/>
                <w:sz w:val="22"/>
                <w:szCs w:val="22"/>
                <w:lang w:val="en-PH" w:eastAsia="en-PH"/>
              </w:rPr>
              <w:t>2</w:t>
            </w:r>
            <w:r w:rsidR="000D4F01" w:rsidRPr="00495094">
              <w:rPr>
                <w:rFonts w:ascii="Arial" w:hAnsi="Arial" w:cs="Arial"/>
                <w:b/>
                <w:bCs/>
                <w:sz w:val="22"/>
                <w:szCs w:val="22"/>
                <w:lang w:val="en-PH" w:eastAsia="en-PH"/>
              </w:rPr>
              <w:t>1</w:t>
            </w:r>
          </w:p>
        </w:tc>
      </w:tr>
      <w:tr w:rsidR="00495094" w:rsidRPr="00495094" w14:paraId="6BF8311B" w14:textId="77777777" w:rsidTr="008B16CE">
        <w:trPr>
          <w:trHeight w:val="59"/>
        </w:trPr>
        <w:tc>
          <w:tcPr>
            <w:tcW w:w="4995" w:type="dxa"/>
            <w:tcBorders>
              <w:top w:val="nil"/>
              <w:left w:val="nil"/>
              <w:bottom w:val="nil"/>
              <w:right w:val="nil"/>
            </w:tcBorders>
            <w:shd w:val="clear" w:color="auto" w:fill="auto"/>
            <w:noWrap/>
            <w:vAlign w:val="center"/>
            <w:hideMark/>
          </w:tcPr>
          <w:p w14:paraId="048C33D7" w14:textId="77777777" w:rsidR="00E30A7A" w:rsidRPr="00495094" w:rsidRDefault="00E30A7A" w:rsidP="00E30A7A">
            <w:pPr>
              <w:jc w:val="left"/>
              <w:rPr>
                <w:rFonts w:ascii="Arial" w:hAnsi="Arial" w:cs="Arial"/>
                <w:sz w:val="22"/>
                <w:szCs w:val="22"/>
                <w:lang w:val="en-PH" w:eastAsia="en-PH"/>
              </w:rPr>
            </w:pPr>
            <w:r w:rsidRPr="00495094">
              <w:rPr>
                <w:rFonts w:ascii="Arial" w:hAnsi="Arial" w:cs="Arial"/>
                <w:sz w:val="22"/>
                <w:szCs w:val="22"/>
                <w:lang w:val="en-PH" w:eastAsia="en-PH"/>
              </w:rPr>
              <w:t>Domestic:</w:t>
            </w:r>
          </w:p>
        </w:tc>
        <w:tc>
          <w:tcPr>
            <w:tcW w:w="1688" w:type="dxa"/>
            <w:tcBorders>
              <w:top w:val="nil"/>
              <w:left w:val="nil"/>
              <w:bottom w:val="nil"/>
              <w:right w:val="nil"/>
            </w:tcBorders>
            <w:shd w:val="clear" w:color="auto" w:fill="auto"/>
            <w:noWrap/>
            <w:vAlign w:val="bottom"/>
            <w:hideMark/>
          </w:tcPr>
          <w:p w14:paraId="11AD6A31" w14:textId="77777777" w:rsidR="00E30A7A" w:rsidRPr="00495094" w:rsidRDefault="00E30A7A" w:rsidP="00E30A7A">
            <w:pPr>
              <w:jc w:val="left"/>
              <w:rPr>
                <w:rFonts w:ascii="Arial" w:hAnsi="Arial" w:cs="Arial"/>
                <w:sz w:val="22"/>
                <w:szCs w:val="22"/>
                <w:lang w:val="en-PH" w:eastAsia="en-PH"/>
              </w:rPr>
            </w:pPr>
          </w:p>
        </w:tc>
        <w:tc>
          <w:tcPr>
            <w:tcW w:w="1573" w:type="dxa"/>
            <w:tcBorders>
              <w:top w:val="nil"/>
              <w:left w:val="nil"/>
              <w:bottom w:val="nil"/>
              <w:right w:val="nil"/>
            </w:tcBorders>
            <w:shd w:val="clear" w:color="auto" w:fill="auto"/>
            <w:noWrap/>
            <w:vAlign w:val="bottom"/>
            <w:hideMark/>
          </w:tcPr>
          <w:p w14:paraId="44CF9E49" w14:textId="77777777" w:rsidR="00E30A7A" w:rsidRPr="00495094" w:rsidRDefault="00E30A7A" w:rsidP="00E30A7A">
            <w:pPr>
              <w:jc w:val="left"/>
              <w:rPr>
                <w:rFonts w:ascii="Arial" w:hAnsi="Arial" w:cs="Arial"/>
                <w:sz w:val="22"/>
                <w:szCs w:val="22"/>
                <w:lang w:val="en-PH" w:eastAsia="en-PH"/>
              </w:rPr>
            </w:pPr>
          </w:p>
        </w:tc>
      </w:tr>
      <w:tr w:rsidR="00495094" w:rsidRPr="00495094" w14:paraId="258BC844" w14:textId="77777777" w:rsidTr="008B16CE">
        <w:trPr>
          <w:trHeight w:val="315"/>
        </w:trPr>
        <w:tc>
          <w:tcPr>
            <w:tcW w:w="4995" w:type="dxa"/>
            <w:tcBorders>
              <w:top w:val="nil"/>
              <w:left w:val="nil"/>
              <w:right w:val="nil"/>
            </w:tcBorders>
            <w:shd w:val="clear" w:color="auto" w:fill="auto"/>
            <w:noWrap/>
            <w:vAlign w:val="center"/>
            <w:hideMark/>
          </w:tcPr>
          <w:p w14:paraId="242AE73E" w14:textId="77777777" w:rsidR="00721708" w:rsidRPr="00495094" w:rsidRDefault="00721708" w:rsidP="00721708">
            <w:pPr>
              <w:jc w:val="left"/>
              <w:rPr>
                <w:rFonts w:ascii="Arial" w:hAnsi="Arial" w:cs="Arial"/>
                <w:sz w:val="22"/>
                <w:szCs w:val="22"/>
                <w:lang w:val="en-PH" w:eastAsia="en-PH"/>
              </w:rPr>
            </w:pPr>
            <w:r w:rsidRPr="00495094">
              <w:rPr>
                <w:rFonts w:ascii="Arial" w:hAnsi="Arial" w:cs="Arial"/>
                <w:sz w:val="22"/>
                <w:szCs w:val="22"/>
                <w:lang w:val="en-PH" w:eastAsia="en-PH"/>
              </w:rPr>
              <w:t xml:space="preserve">     Savings deposits</w:t>
            </w:r>
          </w:p>
        </w:tc>
        <w:tc>
          <w:tcPr>
            <w:tcW w:w="1688" w:type="dxa"/>
            <w:tcBorders>
              <w:top w:val="nil"/>
              <w:left w:val="nil"/>
              <w:right w:val="nil"/>
            </w:tcBorders>
            <w:shd w:val="clear" w:color="auto" w:fill="auto"/>
            <w:noWrap/>
            <w:vAlign w:val="center"/>
          </w:tcPr>
          <w:p w14:paraId="1CF602C7" w14:textId="595EAA87" w:rsidR="00721708" w:rsidRPr="00495094" w:rsidRDefault="000D4F01" w:rsidP="00721708">
            <w:pPr>
              <w:jc w:val="right"/>
              <w:rPr>
                <w:rFonts w:ascii="Arial" w:hAnsi="Arial" w:cs="Arial"/>
                <w:sz w:val="22"/>
                <w:szCs w:val="22"/>
                <w:lang w:val="en-PH" w:eastAsia="en-PH"/>
              </w:rPr>
            </w:pPr>
            <w:r w:rsidRPr="00495094">
              <w:rPr>
                <w:rFonts w:ascii="Arial" w:hAnsi="Arial" w:cs="Arial"/>
                <w:sz w:val="22"/>
                <w:szCs w:val="22"/>
                <w:lang w:val="en-PH" w:eastAsia="en-PH"/>
              </w:rPr>
              <w:t>3,056,725,993</w:t>
            </w:r>
          </w:p>
        </w:tc>
        <w:tc>
          <w:tcPr>
            <w:tcW w:w="1573" w:type="dxa"/>
            <w:tcBorders>
              <w:top w:val="nil"/>
              <w:left w:val="nil"/>
              <w:right w:val="nil"/>
            </w:tcBorders>
            <w:shd w:val="clear" w:color="auto" w:fill="auto"/>
            <w:noWrap/>
            <w:vAlign w:val="center"/>
            <w:hideMark/>
          </w:tcPr>
          <w:p w14:paraId="24D54A30" w14:textId="36E647EB" w:rsidR="00721708" w:rsidRPr="00495094" w:rsidRDefault="000D4F01" w:rsidP="00721708">
            <w:pPr>
              <w:ind w:right="-87"/>
              <w:jc w:val="right"/>
              <w:rPr>
                <w:rFonts w:ascii="Arial" w:hAnsi="Arial" w:cs="Arial"/>
                <w:sz w:val="22"/>
                <w:szCs w:val="22"/>
                <w:lang w:val="en-PH" w:eastAsia="en-PH"/>
              </w:rPr>
            </w:pPr>
            <w:r w:rsidRPr="00495094">
              <w:rPr>
                <w:rFonts w:ascii="Arial" w:hAnsi="Arial" w:cs="Arial"/>
                <w:sz w:val="22"/>
                <w:szCs w:val="22"/>
                <w:lang w:val="en-PH" w:eastAsia="en-PH"/>
              </w:rPr>
              <w:t>2,926,724,148</w:t>
            </w:r>
          </w:p>
        </w:tc>
      </w:tr>
      <w:tr w:rsidR="00495094" w:rsidRPr="00495094" w14:paraId="79163DEB" w14:textId="77777777" w:rsidTr="008B16CE">
        <w:trPr>
          <w:trHeight w:val="270"/>
        </w:trPr>
        <w:tc>
          <w:tcPr>
            <w:tcW w:w="4995" w:type="dxa"/>
            <w:tcBorders>
              <w:top w:val="single" w:sz="8" w:space="0" w:color="auto"/>
              <w:left w:val="nil"/>
              <w:bottom w:val="double" w:sz="6" w:space="0" w:color="auto"/>
              <w:right w:val="nil"/>
            </w:tcBorders>
            <w:shd w:val="clear" w:color="auto" w:fill="auto"/>
            <w:noWrap/>
            <w:vAlign w:val="center"/>
            <w:hideMark/>
          </w:tcPr>
          <w:p w14:paraId="5B5A9C31" w14:textId="77777777" w:rsidR="00721708" w:rsidRPr="00495094" w:rsidRDefault="00721708" w:rsidP="00721708">
            <w:pPr>
              <w:jc w:val="right"/>
              <w:rPr>
                <w:rFonts w:ascii="Arial" w:hAnsi="Arial" w:cs="Arial"/>
                <w:bCs/>
                <w:sz w:val="22"/>
                <w:szCs w:val="22"/>
                <w:lang w:val="en-PH" w:eastAsia="en-PH"/>
              </w:rPr>
            </w:pPr>
            <w:r w:rsidRPr="00495094">
              <w:rPr>
                <w:rFonts w:ascii="Arial" w:hAnsi="Arial" w:cs="Arial"/>
                <w:bCs/>
                <w:sz w:val="22"/>
                <w:szCs w:val="22"/>
                <w:lang w:val="en-PH" w:eastAsia="en-PH"/>
              </w:rPr>
              <w:t> </w:t>
            </w:r>
          </w:p>
        </w:tc>
        <w:tc>
          <w:tcPr>
            <w:tcW w:w="1688" w:type="dxa"/>
            <w:tcBorders>
              <w:top w:val="single" w:sz="8" w:space="0" w:color="auto"/>
              <w:left w:val="nil"/>
              <w:bottom w:val="double" w:sz="6" w:space="0" w:color="auto"/>
              <w:right w:val="nil"/>
            </w:tcBorders>
            <w:shd w:val="clear" w:color="auto" w:fill="auto"/>
            <w:noWrap/>
            <w:vAlign w:val="center"/>
          </w:tcPr>
          <w:p w14:paraId="3E26DB64" w14:textId="43C4107D" w:rsidR="00721708" w:rsidRPr="00495094" w:rsidRDefault="000D4F01" w:rsidP="00721708">
            <w:pPr>
              <w:jc w:val="right"/>
              <w:rPr>
                <w:rFonts w:ascii="Arial" w:hAnsi="Arial" w:cs="Arial"/>
                <w:bCs/>
                <w:sz w:val="22"/>
                <w:szCs w:val="22"/>
                <w:lang w:val="en-PH" w:eastAsia="en-PH"/>
              </w:rPr>
            </w:pPr>
            <w:r w:rsidRPr="00495094">
              <w:rPr>
                <w:rFonts w:ascii="Arial" w:hAnsi="Arial" w:cs="Arial"/>
                <w:bCs/>
                <w:sz w:val="22"/>
                <w:szCs w:val="22"/>
                <w:lang w:val="en-PH" w:eastAsia="en-PH"/>
              </w:rPr>
              <w:t>3,056,725,993</w:t>
            </w:r>
          </w:p>
        </w:tc>
        <w:tc>
          <w:tcPr>
            <w:tcW w:w="1573" w:type="dxa"/>
            <w:tcBorders>
              <w:top w:val="single" w:sz="8" w:space="0" w:color="auto"/>
              <w:left w:val="nil"/>
              <w:bottom w:val="double" w:sz="6" w:space="0" w:color="auto"/>
              <w:right w:val="nil"/>
            </w:tcBorders>
            <w:shd w:val="clear" w:color="auto" w:fill="auto"/>
            <w:noWrap/>
            <w:vAlign w:val="center"/>
            <w:hideMark/>
          </w:tcPr>
          <w:p w14:paraId="73BB7220" w14:textId="63550A50" w:rsidR="00721708" w:rsidRPr="00495094" w:rsidRDefault="00721708" w:rsidP="000D4F01">
            <w:pPr>
              <w:ind w:right="-87"/>
              <w:jc w:val="right"/>
              <w:rPr>
                <w:rFonts w:ascii="Arial" w:hAnsi="Arial" w:cs="Arial"/>
                <w:bCs/>
                <w:sz w:val="22"/>
                <w:szCs w:val="22"/>
                <w:lang w:val="en-PH" w:eastAsia="en-PH"/>
              </w:rPr>
            </w:pPr>
            <w:r w:rsidRPr="00495094">
              <w:rPr>
                <w:rFonts w:ascii="Arial" w:hAnsi="Arial" w:cs="Arial"/>
                <w:bCs/>
                <w:sz w:val="22"/>
                <w:szCs w:val="22"/>
                <w:lang w:val="en-PH" w:eastAsia="en-PH"/>
              </w:rPr>
              <w:t>2,</w:t>
            </w:r>
            <w:r w:rsidR="000D4F01" w:rsidRPr="00495094">
              <w:rPr>
                <w:rFonts w:ascii="Arial" w:hAnsi="Arial" w:cs="Arial"/>
                <w:bCs/>
                <w:sz w:val="22"/>
                <w:szCs w:val="22"/>
                <w:lang w:val="en-PH" w:eastAsia="en-PH"/>
              </w:rPr>
              <w:t>926,724,148</w:t>
            </w:r>
          </w:p>
        </w:tc>
      </w:tr>
    </w:tbl>
    <w:p w14:paraId="6B65ECFE" w14:textId="77777777" w:rsidR="00850F2C" w:rsidRPr="00495094" w:rsidRDefault="00850F2C" w:rsidP="0015218E">
      <w:pPr>
        <w:rPr>
          <w:rFonts w:ascii="Arial" w:hAnsi="Arial" w:cs="Arial"/>
          <w:sz w:val="22"/>
          <w:szCs w:val="22"/>
        </w:rPr>
      </w:pPr>
    </w:p>
    <w:p w14:paraId="20E5E077" w14:textId="06AA17A6" w:rsidR="002A7655" w:rsidRPr="00495094" w:rsidRDefault="0019421F" w:rsidP="00076DC5">
      <w:pPr>
        <w:pStyle w:val="BodyText3"/>
        <w:tabs>
          <w:tab w:val="clear" w:pos="8550"/>
        </w:tabs>
        <w:rPr>
          <w:bCs w:val="0"/>
        </w:rPr>
      </w:pPr>
      <w:r w:rsidRPr="00495094">
        <w:rPr>
          <w:bCs w:val="0"/>
        </w:rPr>
        <w:t xml:space="preserve">Domestic deposit liabilities </w:t>
      </w:r>
      <w:r w:rsidR="005D1CED" w:rsidRPr="00495094">
        <w:rPr>
          <w:bCs w:val="0"/>
        </w:rPr>
        <w:t>earn</w:t>
      </w:r>
      <w:r w:rsidRPr="00495094">
        <w:rPr>
          <w:bCs w:val="0"/>
        </w:rPr>
        <w:t xml:space="preserve"> annua</w:t>
      </w:r>
      <w:r w:rsidR="00894065" w:rsidRPr="00495094">
        <w:rPr>
          <w:bCs w:val="0"/>
        </w:rPr>
        <w:t>l fixed interest rates ranging</w:t>
      </w:r>
      <w:r w:rsidRPr="00495094">
        <w:rPr>
          <w:bCs w:val="0"/>
        </w:rPr>
        <w:t xml:space="preserve"> from </w:t>
      </w:r>
      <w:r w:rsidR="00704E88" w:rsidRPr="00495094">
        <w:rPr>
          <w:bCs w:val="0"/>
        </w:rPr>
        <w:t>0.</w:t>
      </w:r>
      <w:r w:rsidR="00B12A11" w:rsidRPr="00495094">
        <w:rPr>
          <w:bCs w:val="0"/>
        </w:rPr>
        <w:t>0</w:t>
      </w:r>
      <w:r w:rsidR="00704E88" w:rsidRPr="00495094">
        <w:rPr>
          <w:bCs w:val="0"/>
        </w:rPr>
        <w:t>5</w:t>
      </w:r>
      <w:r w:rsidR="00B12A11" w:rsidRPr="00495094">
        <w:rPr>
          <w:bCs w:val="0"/>
        </w:rPr>
        <w:t xml:space="preserve"> to </w:t>
      </w:r>
      <w:r w:rsidR="00704E88" w:rsidRPr="00495094">
        <w:rPr>
          <w:bCs w:val="0"/>
        </w:rPr>
        <w:t>1</w:t>
      </w:r>
      <w:r w:rsidR="00EC310A" w:rsidRPr="00495094">
        <w:rPr>
          <w:bCs w:val="0"/>
        </w:rPr>
        <w:t>.</w:t>
      </w:r>
      <w:r w:rsidR="000D4F01" w:rsidRPr="00495094">
        <w:rPr>
          <w:bCs w:val="0"/>
        </w:rPr>
        <w:t>25</w:t>
      </w:r>
      <w:r w:rsidR="00E02E51" w:rsidRPr="00495094">
        <w:rPr>
          <w:bCs w:val="0"/>
        </w:rPr>
        <w:t xml:space="preserve"> per cent </w:t>
      </w:r>
      <w:r w:rsidRPr="00495094">
        <w:rPr>
          <w:bCs w:val="0"/>
        </w:rPr>
        <w:t>in 20</w:t>
      </w:r>
      <w:r w:rsidR="00704E88" w:rsidRPr="00495094">
        <w:rPr>
          <w:bCs w:val="0"/>
        </w:rPr>
        <w:t>2</w:t>
      </w:r>
      <w:r w:rsidR="000D4F01" w:rsidRPr="00495094">
        <w:rPr>
          <w:bCs w:val="0"/>
        </w:rPr>
        <w:t>2</w:t>
      </w:r>
      <w:r w:rsidRPr="00495094">
        <w:rPr>
          <w:bCs w:val="0"/>
        </w:rPr>
        <w:t xml:space="preserve"> and 20</w:t>
      </w:r>
      <w:r w:rsidR="00721708" w:rsidRPr="00495094">
        <w:rPr>
          <w:bCs w:val="0"/>
        </w:rPr>
        <w:t>2</w:t>
      </w:r>
      <w:r w:rsidR="000D4F01" w:rsidRPr="00495094">
        <w:rPr>
          <w:bCs w:val="0"/>
        </w:rPr>
        <w:t>1</w:t>
      </w:r>
      <w:r w:rsidRPr="00495094">
        <w:rPr>
          <w:bCs w:val="0"/>
        </w:rPr>
        <w:t xml:space="preserve">. </w:t>
      </w:r>
    </w:p>
    <w:p w14:paraId="36D940AF" w14:textId="77777777" w:rsidR="005D1CED" w:rsidRPr="00495094" w:rsidRDefault="005D1CED" w:rsidP="00BE74DF">
      <w:pPr>
        <w:ind w:left="720"/>
        <w:rPr>
          <w:rFonts w:ascii="Arial" w:hAnsi="Arial" w:cs="Arial"/>
          <w:b/>
          <w:bCs/>
          <w:sz w:val="22"/>
          <w:szCs w:val="22"/>
        </w:rPr>
      </w:pPr>
    </w:p>
    <w:p w14:paraId="7FEE5F8D" w14:textId="77777777" w:rsidR="003C5E3D" w:rsidRPr="00495094" w:rsidRDefault="003C5E3D" w:rsidP="002308A1">
      <w:pPr>
        <w:rPr>
          <w:rFonts w:ascii="Arial" w:hAnsi="Arial" w:cs="Arial"/>
          <w:b/>
          <w:bCs/>
          <w:sz w:val="22"/>
          <w:szCs w:val="22"/>
        </w:rPr>
      </w:pPr>
    </w:p>
    <w:p w14:paraId="2DA6B4E8" w14:textId="77777777" w:rsidR="006D37E3" w:rsidRPr="00495094" w:rsidRDefault="00B34369" w:rsidP="007F4EEC">
      <w:pPr>
        <w:numPr>
          <w:ilvl w:val="0"/>
          <w:numId w:val="12"/>
        </w:numPr>
        <w:ind w:left="720"/>
        <w:rPr>
          <w:rFonts w:ascii="Arial" w:hAnsi="Arial" w:cs="Arial"/>
          <w:b/>
          <w:bCs/>
          <w:sz w:val="22"/>
          <w:szCs w:val="22"/>
        </w:rPr>
      </w:pPr>
      <w:r w:rsidRPr="00495094">
        <w:rPr>
          <w:rFonts w:ascii="Arial" w:hAnsi="Arial" w:cs="Arial"/>
          <w:b/>
          <w:bCs/>
          <w:sz w:val="22"/>
          <w:szCs w:val="22"/>
        </w:rPr>
        <w:t>Accrued Expenses</w:t>
      </w:r>
    </w:p>
    <w:p w14:paraId="6F76FA8D" w14:textId="77777777" w:rsidR="002A7655" w:rsidRPr="00495094" w:rsidRDefault="002A7655" w:rsidP="008D0E35">
      <w:pPr>
        <w:ind w:left="360"/>
        <w:rPr>
          <w:rFonts w:ascii="Arial" w:hAnsi="Arial" w:cs="Arial"/>
          <w:sz w:val="22"/>
          <w:szCs w:val="22"/>
        </w:rPr>
      </w:pPr>
    </w:p>
    <w:p w14:paraId="4276DDFF" w14:textId="77777777" w:rsidR="006D37E3" w:rsidRPr="00495094" w:rsidRDefault="006D37E3" w:rsidP="008D0E35">
      <w:pPr>
        <w:rPr>
          <w:rFonts w:ascii="Arial" w:hAnsi="Arial" w:cs="Arial"/>
          <w:b/>
          <w:bCs/>
          <w:sz w:val="22"/>
          <w:szCs w:val="22"/>
        </w:rPr>
      </w:pPr>
      <w:r w:rsidRPr="00495094">
        <w:rPr>
          <w:rFonts w:ascii="Arial" w:hAnsi="Arial" w:cs="Arial"/>
          <w:sz w:val="22"/>
          <w:szCs w:val="22"/>
        </w:rPr>
        <w:t>This account represents</w:t>
      </w:r>
      <w:r w:rsidRPr="00495094">
        <w:rPr>
          <w:rFonts w:ascii="Arial" w:hAnsi="Arial" w:cs="Arial"/>
          <w:b/>
          <w:bCs/>
          <w:sz w:val="22"/>
          <w:szCs w:val="22"/>
        </w:rPr>
        <w:t xml:space="preserve">:   </w:t>
      </w:r>
    </w:p>
    <w:p w14:paraId="652F5354" w14:textId="77777777" w:rsidR="00113CBD" w:rsidRPr="00495094" w:rsidRDefault="00113CBD" w:rsidP="008D0E35">
      <w:pPr>
        <w:rPr>
          <w:rFonts w:ascii="Arial" w:hAnsi="Arial" w:cs="Arial"/>
          <w:b/>
          <w:bCs/>
          <w:sz w:val="22"/>
          <w:szCs w:val="22"/>
        </w:rPr>
      </w:pPr>
    </w:p>
    <w:tbl>
      <w:tblPr>
        <w:tblW w:w="8256" w:type="dxa"/>
        <w:tblInd w:w="108" w:type="dxa"/>
        <w:tblLayout w:type="fixed"/>
        <w:tblLook w:val="04A0" w:firstRow="1" w:lastRow="0" w:firstColumn="1" w:lastColumn="0" w:noHBand="0" w:noVBand="1"/>
      </w:tblPr>
      <w:tblGrid>
        <w:gridCol w:w="4854"/>
        <w:gridCol w:w="1861"/>
        <w:gridCol w:w="1541"/>
      </w:tblGrid>
      <w:tr w:rsidR="00495094" w:rsidRPr="00495094" w14:paraId="0B894276" w14:textId="77777777" w:rsidTr="0051778A">
        <w:trPr>
          <w:trHeight w:val="310"/>
          <w:tblHeader/>
        </w:trPr>
        <w:tc>
          <w:tcPr>
            <w:tcW w:w="4854" w:type="dxa"/>
            <w:tcBorders>
              <w:top w:val="single" w:sz="4" w:space="0" w:color="auto"/>
              <w:left w:val="nil"/>
              <w:bottom w:val="single" w:sz="4" w:space="0" w:color="auto"/>
              <w:right w:val="nil"/>
            </w:tcBorders>
            <w:shd w:val="clear" w:color="auto" w:fill="auto"/>
            <w:noWrap/>
            <w:vAlign w:val="center"/>
            <w:hideMark/>
          </w:tcPr>
          <w:p w14:paraId="1ABB4DBE" w14:textId="77777777" w:rsidR="0045240B" w:rsidRPr="00495094" w:rsidRDefault="0045240B" w:rsidP="00EC575A">
            <w:pPr>
              <w:jc w:val="left"/>
              <w:rPr>
                <w:rFonts w:ascii="Arial" w:hAnsi="Arial" w:cs="Arial"/>
                <w:b/>
                <w:bCs/>
                <w:sz w:val="22"/>
                <w:szCs w:val="22"/>
                <w:lang w:val="en-PH" w:eastAsia="en-PH"/>
              </w:rPr>
            </w:pPr>
            <w:r w:rsidRPr="00495094">
              <w:rPr>
                <w:rFonts w:ascii="Arial" w:hAnsi="Arial" w:cs="Arial"/>
                <w:b/>
                <w:bCs/>
                <w:sz w:val="22"/>
                <w:szCs w:val="22"/>
              </w:rPr>
              <w:t xml:space="preserve">       </w:t>
            </w:r>
            <w:r w:rsidRPr="00495094">
              <w:rPr>
                <w:rFonts w:ascii="Arial" w:hAnsi="Arial" w:cs="Arial"/>
                <w:sz w:val="22"/>
                <w:szCs w:val="22"/>
              </w:rPr>
              <w:t> </w:t>
            </w:r>
          </w:p>
        </w:tc>
        <w:tc>
          <w:tcPr>
            <w:tcW w:w="1861" w:type="dxa"/>
            <w:tcBorders>
              <w:top w:val="single" w:sz="4" w:space="0" w:color="auto"/>
              <w:left w:val="nil"/>
              <w:bottom w:val="single" w:sz="4" w:space="0" w:color="auto"/>
              <w:right w:val="nil"/>
            </w:tcBorders>
            <w:shd w:val="clear" w:color="auto" w:fill="auto"/>
          </w:tcPr>
          <w:p w14:paraId="1EA22204" w14:textId="1994D712" w:rsidR="0045240B" w:rsidRPr="00495094" w:rsidRDefault="00721708" w:rsidP="008B16CE">
            <w:pPr>
              <w:ind w:hanging="177"/>
              <w:jc w:val="center"/>
              <w:rPr>
                <w:rFonts w:ascii="Arial" w:hAnsi="Arial" w:cs="Arial"/>
                <w:b/>
                <w:bCs/>
                <w:sz w:val="22"/>
                <w:szCs w:val="22"/>
              </w:rPr>
            </w:pPr>
            <w:r w:rsidRPr="00495094">
              <w:rPr>
                <w:rFonts w:ascii="Arial" w:hAnsi="Arial" w:cs="Arial"/>
                <w:b/>
                <w:bCs/>
                <w:sz w:val="22"/>
                <w:szCs w:val="22"/>
              </w:rPr>
              <w:t>202</w:t>
            </w:r>
            <w:r w:rsidR="0081241E" w:rsidRPr="00495094">
              <w:rPr>
                <w:rFonts w:ascii="Arial" w:hAnsi="Arial" w:cs="Arial"/>
                <w:b/>
                <w:bCs/>
                <w:sz w:val="22"/>
                <w:szCs w:val="22"/>
              </w:rPr>
              <w:t>2</w:t>
            </w:r>
          </w:p>
        </w:tc>
        <w:tc>
          <w:tcPr>
            <w:tcW w:w="1541" w:type="dxa"/>
            <w:tcBorders>
              <w:top w:val="single" w:sz="4" w:space="0" w:color="auto"/>
              <w:left w:val="nil"/>
              <w:bottom w:val="single" w:sz="4" w:space="0" w:color="auto"/>
              <w:right w:val="nil"/>
            </w:tcBorders>
            <w:shd w:val="clear" w:color="auto" w:fill="auto"/>
            <w:noWrap/>
            <w:hideMark/>
          </w:tcPr>
          <w:p w14:paraId="01B64789" w14:textId="77777777" w:rsidR="008B16CE" w:rsidRPr="00495094" w:rsidRDefault="00721708" w:rsidP="00B12A11">
            <w:pPr>
              <w:ind w:right="-108"/>
              <w:jc w:val="center"/>
              <w:rPr>
                <w:rFonts w:ascii="Arial" w:hAnsi="Arial" w:cs="Arial"/>
                <w:b/>
                <w:bCs/>
                <w:sz w:val="22"/>
                <w:szCs w:val="22"/>
              </w:rPr>
            </w:pPr>
            <w:r w:rsidRPr="00495094">
              <w:rPr>
                <w:rFonts w:ascii="Arial" w:hAnsi="Arial" w:cs="Arial"/>
                <w:b/>
                <w:bCs/>
                <w:sz w:val="22"/>
                <w:szCs w:val="22"/>
              </w:rPr>
              <w:t>202</w:t>
            </w:r>
            <w:r w:rsidR="000D4F01" w:rsidRPr="00495094">
              <w:rPr>
                <w:rFonts w:ascii="Arial" w:hAnsi="Arial" w:cs="Arial"/>
                <w:b/>
                <w:bCs/>
                <w:sz w:val="22"/>
                <w:szCs w:val="22"/>
              </w:rPr>
              <w:t>1</w:t>
            </w:r>
            <w:r w:rsidR="0045240B" w:rsidRPr="00495094">
              <w:rPr>
                <w:rFonts w:ascii="Arial" w:hAnsi="Arial" w:cs="Arial"/>
                <w:b/>
                <w:bCs/>
                <w:sz w:val="22"/>
                <w:szCs w:val="22"/>
              </w:rPr>
              <w:t xml:space="preserve">  </w:t>
            </w:r>
          </w:p>
          <w:p w14:paraId="4CFFC72F" w14:textId="42659574" w:rsidR="0045240B" w:rsidRPr="00495094" w:rsidRDefault="008B16CE" w:rsidP="00B12A11">
            <w:pPr>
              <w:ind w:right="-108"/>
              <w:jc w:val="center"/>
              <w:rPr>
                <w:rFonts w:ascii="Arial" w:hAnsi="Arial" w:cs="Arial"/>
                <w:b/>
                <w:bCs/>
                <w:sz w:val="22"/>
                <w:szCs w:val="22"/>
              </w:rPr>
            </w:pPr>
            <w:r w:rsidRPr="00495094">
              <w:rPr>
                <w:rFonts w:ascii="Arial" w:hAnsi="Arial" w:cs="Arial"/>
                <w:b/>
                <w:bCs/>
                <w:sz w:val="22"/>
                <w:szCs w:val="22"/>
              </w:rPr>
              <w:t>As restated</w:t>
            </w:r>
            <w:r w:rsidR="0045240B" w:rsidRPr="00495094">
              <w:rPr>
                <w:rFonts w:ascii="Arial" w:hAnsi="Arial" w:cs="Arial"/>
                <w:b/>
                <w:bCs/>
                <w:sz w:val="22"/>
                <w:szCs w:val="22"/>
              </w:rPr>
              <w:t xml:space="preserve">               </w:t>
            </w:r>
          </w:p>
        </w:tc>
      </w:tr>
      <w:tr w:rsidR="00495094" w:rsidRPr="00495094" w14:paraId="1B167E0D" w14:textId="77777777" w:rsidTr="008B16CE">
        <w:trPr>
          <w:trHeight w:val="229"/>
        </w:trPr>
        <w:tc>
          <w:tcPr>
            <w:tcW w:w="4854" w:type="dxa"/>
            <w:tcBorders>
              <w:top w:val="single" w:sz="4" w:space="0" w:color="auto"/>
              <w:left w:val="nil"/>
              <w:right w:val="nil"/>
            </w:tcBorders>
            <w:shd w:val="clear" w:color="auto" w:fill="auto"/>
            <w:noWrap/>
            <w:vAlign w:val="center"/>
          </w:tcPr>
          <w:p w14:paraId="1C4AD092" w14:textId="38D6DEBD"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Management and other professional fees</w:t>
            </w:r>
          </w:p>
        </w:tc>
        <w:tc>
          <w:tcPr>
            <w:tcW w:w="1861" w:type="dxa"/>
            <w:tcBorders>
              <w:top w:val="single" w:sz="4" w:space="0" w:color="auto"/>
              <w:left w:val="nil"/>
              <w:right w:val="nil"/>
            </w:tcBorders>
            <w:shd w:val="clear" w:color="auto" w:fill="auto"/>
            <w:vAlign w:val="center"/>
          </w:tcPr>
          <w:p w14:paraId="7D30397E" w14:textId="793D356C"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52,430,114</w:t>
            </w:r>
          </w:p>
        </w:tc>
        <w:tc>
          <w:tcPr>
            <w:tcW w:w="1541" w:type="dxa"/>
            <w:tcBorders>
              <w:top w:val="single" w:sz="4" w:space="0" w:color="auto"/>
              <w:left w:val="nil"/>
              <w:right w:val="nil"/>
            </w:tcBorders>
            <w:shd w:val="clear" w:color="auto" w:fill="auto"/>
            <w:noWrap/>
            <w:vAlign w:val="center"/>
          </w:tcPr>
          <w:p w14:paraId="3E1A896A" w14:textId="320D169C"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15,156,290</w:t>
            </w:r>
          </w:p>
        </w:tc>
      </w:tr>
      <w:tr w:rsidR="00495094" w:rsidRPr="00495094" w14:paraId="65FED84D" w14:textId="77777777" w:rsidTr="0051778A">
        <w:trPr>
          <w:trHeight w:val="229"/>
        </w:trPr>
        <w:tc>
          <w:tcPr>
            <w:tcW w:w="4854" w:type="dxa"/>
            <w:tcBorders>
              <w:left w:val="nil"/>
              <w:right w:val="nil"/>
            </w:tcBorders>
            <w:shd w:val="clear" w:color="auto" w:fill="auto"/>
            <w:noWrap/>
            <w:vAlign w:val="center"/>
          </w:tcPr>
          <w:p w14:paraId="515D30D1" w14:textId="374FEC6D"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 xml:space="preserve">Accrued interest expense in financial liabilities     </w:t>
            </w:r>
          </w:p>
        </w:tc>
        <w:tc>
          <w:tcPr>
            <w:tcW w:w="1861" w:type="dxa"/>
            <w:tcBorders>
              <w:left w:val="nil"/>
              <w:right w:val="nil"/>
            </w:tcBorders>
            <w:shd w:val="clear" w:color="auto" w:fill="auto"/>
            <w:vAlign w:val="center"/>
          </w:tcPr>
          <w:p w14:paraId="7F26B589" w14:textId="4C6BDC55"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24,027,778</w:t>
            </w:r>
          </w:p>
        </w:tc>
        <w:tc>
          <w:tcPr>
            <w:tcW w:w="1541" w:type="dxa"/>
            <w:tcBorders>
              <w:left w:val="nil"/>
              <w:right w:val="nil"/>
            </w:tcBorders>
            <w:shd w:val="clear" w:color="auto" w:fill="auto"/>
            <w:noWrap/>
            <w:vAlign w:val="center"/>
          </w:tcPr>
          <w:p w14:paraId="0B0F5364" w14:textId="08772021"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5,024,406</w:t>
            </w:r>
          </w:p>
        </w:tc>
      </w:tr>
      <w:tr w:rsidR="00495094" w:rsidRPr="00495094" w14:paraId="58A15478" w14:textId="77777777" w:rsidTr="0051778A">
        <w:trPr>
          <w:trHeight w:val="229"/>
        </w:trPr>
        <w:tc>
          <w:tcPr>
            <w:tcW w:w="4854" w:type="dxa"/>
            <w:tcBorders>
              <w:top w:val="nil"/>
              <w:left w:val="nil"/>
              <w:right w:val="nil"/>
            </w:tcBorders>
            <w:shd w:val="clear" w:color="auto" w:fill="auto"/>
            <w:noWrap/>
            <w:vAlign w:val="center"/>
          </w:tcPr>
          <w:p w14:paraId="2364BA36" w14:textId="05B528D9"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Information technology</w:t>
            </w:r>
          </w:p>
        </w:tc>
        <w:tc>
          <w:tcPr>
            <w:tcW w:w="1861" w:type="dxa"/>
            <w:tcBorders>
              <w:top w:val="nil"/>
              <w:left w:val="nil"/>
              <w:right w:val="nil"/>
            </w:tcBorders>
            <w:shd w:val="clear" w:color="auto" w:fill="auto"/>
            <w:vAlign w:val="center"/>
          </w:tcPr>
          <w:p w14:paraId="6A487CC9" w14:textId="42F3845D"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20,241,290</w:t>
            </w:r>
          </w:p>
        </w:tc>
        <w:tc>
          <w:tcPr>
            <w:tcW w:w="1541" w:type="dxa"/>
            <w:tcBorders>
              <w:top w:val="nil"/>
              <w:left w:val="nil"/>
              <w:right w:val="nil"/>
            </w:tcBorders>
            <w:shd w:val="clear" w:color="auto" w:fill="auto"/>
            <w:noWrap/>
            <w:vAlign w:val="center"/>
          </w:tcPr>
          <w:p w14:paraId="79E81CAF" w14:textId="41656B6E"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13,852,904</w:t>
            </w:r>
          </w:p>
        </w:tc>
      </w:tr>
      <w:tr w:rsidR="00495094" w:rsidRPr="00495094" w14:paraId="1264A3C6" w14:textId="77777777" w:rsidTr="0051778A">
        <w:trPr>
          <w:trHeight w:val="229"/>
        </w:trPr>
        <w:tc>
          <w:tcPr>
            <w:tcW w:w="4854" w:type="dxa"/>
            <w:tcBorders>
              <w:left w:val="nil"/>
              <w:bottom w:val="nil"/>
              <w:right w:val="nil"/>
            </w:tcBorders>
            <w:shd w:val="clear" w:color="auto" w:fill="auto"/>
            <w:noWrap/>
            <w:vAlign w:val="center"/>
          </w:tcPr>
          <w:p w14:paraId="23A66AC2" w14:textId="5BD81C3D"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Insurance</w:t>
            </w:r>
          </w:p>
        </w:tc>
        <w:tc>
          <w:tcPr>
            <w:tcW w:w="1861" w:type="dxa"/>
            <w:tcBorders>
              <w:left w:val="nil"/>
              <w:bottom w:val="nil"/>
              <w:right w:val="nil"/>
            </w:tcBorders>
            <w:shd w:val="clear" w:color="auto" w:fill="auto"/>
            <w:vAlign w:val="center"/>
          </w:tcPr>
          <w:p w14:paraId="425A5571" w14:textId="471D2560"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3,004,092</w:t>
            </w:r>
          </w:p>
        </w:tc>
        <w:tc>
          <w:tcPr>
            <w:tcW w:w="1541" w:type="dxa"/>
            <w:tcBorders>
              <w:left w:val="nil"/>
              <w:bottom w:val="nil"/>
              <w:right w:val="nil"/>
            </w:tcBorders>
            <w:shd w:val="clear" w:color="auto" w:fill="auto"/>
            <w:noWrap/>
            <w:vAlign w:val="center"/>
          </w:tcPr>
          <w:p w14:paraId="1E8C9609" w14:textId="71763630"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2,544,000</w:t>
            </w:r>
          </w:p>
        </w:tc>
      </w:tr>
      <w:tr w:rsidR="00495094" w:rsidRPr="00495094" w14:paraId="1AEE4790" w14:textId="77777777" w:rsidTr="008B16CE">
        <w:trPr>
          <w:trHeight w:val="229"/>
        </w:trPr>
        <w:tc>
          <w:tcPr>
            <w:tcW w:w="4854" w:type="dxa"/>
            <w:tcBorders>
              <w:top w:val="nil"/>
              <w:left w:val="nil"/>
              <w:bottom w:val="nil"/>
              <w:right w:val="nil"/>
            </w:tcBorders>
            <w:shd w:val="clear" w:color="auto" w:fill="auto"/>
            <w:noWrap/>
            <w:vAlign w:val="center"/>
          </w:tcPr>
          <w:p w14:paraId="2A592432" w14:textId="151C6797"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Other taxes and licenses</w:t>
            </w:r>
          </w:p>
        </w:tc>
        <w:tc>
          <w:tcPr>
            <w:tcW w:w="1861" w:type="dxa"/>
            <w:tcBorders>
              <w:top w:val="nil"/>
              <w:left w:val="nil"/>
              <w:bottom w:val="nil"/>
              <w:right w:val="nil"/>
            </w:tcBorders>
            <w:shd w:val="clear" w:color="auto" w:fill="auto"/>
            <w:vAlign w:val="center"/>
          </w:tcPr>
          <w:p w14:paraId="38CE632A" w14:textId="18DBDBC5"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2,969,266</w:t>
            </w:r>
          </w:p>
        </w:tc>
        <w:tc>
          <w:tcPr>
            <w:tcW w:w="1541" w:type="dxa"/>
            <w:tcBorders>
              <w:top w:val="nil"/>
              <w:left w:val="nil"/>
              <w:bottom w:val="nil"/>
              <w:right w:val="nil"/>
            </w:tcBorders>
            <w:shd w:val="clear" w:color="auto" w:fill="auto"/>
            <w:noWrap/>
            <w:vAlign w:val="center"/>
          </w:tcPr>
          <w:p w14:paraId="60BF034B" w14:textId="7AE6801C"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0</w:t>
            </w:r>
          </w:p>
        </w:tc>
      </w:tr>
      <w:tr w:rsidR="00495094" w:rsidRPr="00495094" w14:paraId="54AF15E6" w14:textId="77777777" w:rsidTr="008B16CE">
        <w:trPr>
          <w:trHeight w:val="229"/>
        </w:trPr>
        <w:tc>
          <w:tcPr>
            <w:tcW w:w="4854" w:type="dxa"/>
            <w:tcBorders>
              <w:top w:val="nil"/>
              <w:left w:val="nil"/>
              <w:bottom w:val="nil"/>
              <w:right w:val="nil"/>
            </w:tcBorders>
            <w:shd w:val="clear" w:color="auto" w:fill="auto"/>
            <w:noWrap/>
            <w:vAlign w:val="center"/>
          </w:tcPr>
          <w:p w14:paraId="697059EE" w14:textId="27F92D5E"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Postage, telephone, cables and telegrams</w:t>
            </w:r>
          </w:p>
        </w:tc>
        <w:tc>
          <w:tcPr>
            <w:tcW w:w="1861" w:type="dxa"/>
            <w:tcBorders>
              <w:top w:val="nil"/>
              <w:left w:val="nil"/>
              <w:bottom w:val="nil"/>
              <w:right w:val="nil"/>
            </w:tcBorders>
            <w:shd w:val="clear" w:color="auto" w:fill="auto"/>
            <w:vAlign w:val="center"/>
          </w:tcPr>
          <w:p w14:paraId="1636E7FD" w14:textId="5BFA4A1F"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2,582,622</w:t>
            </w:r>
          </w:p>
        </w:tc>
        <w:tc>
          <w:tcPr>
            <w:tcW w:w="1541" w:type="dxa"/>
            <w:tcBorders>
              <w:top w:val="nil"/>
              <w:left w:val="nil"/>
              <w:bottom w:val="nil"/>
              <w:right w:val="nil"/>
            </w:tcBorders>
            <w:shd w:val="clear" w:color="auto" w:fill="auto"/>
            <w:noWrap/>
            <w:vAlign w:val="center"/>
          </w:tcPr>
          <w:p w14:paraId="536E974C" w14:textId="3F6BF41E"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222,906</w:t>
            </w:r>
          </w:p>
        </w:tc>
      </w:tr>
      <w:tr w:rsidR="00495094" w:rsidRPr="00495094" w14:paraId="7A84EF44" w14:textId="77777777" w:rsidTr="008B16CE">
        <w:trPr>
          <w:trHeight w:val="229"/>
        </w:trPr>
        <w:tc>
          <w:tcPr>
            <w:tcW w:w="4854" w:type="dxa"/>
            <w:tcBorders>
              <w:top w:val="nil"/>
              <w:left w:val="nil"/>
              <w:bottom w:val="nil"/>
              <w:right w:val="nil"/>
            </w:tcBorders>
            <w:shd w:val="clear" w:color="auto" w:fill="auto"/>
            <w:noWrap/>
            <w:vAlign w:val="center"/>
          </w:tcPr>
          <w:p w14:paraId="6FA290DA" w14:textId="0E5B711C"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Fringe benefits</w:t>
            </w:r>
          </w:p>
        </w:tc>
        <w:tc>
          <w:tcPr>
            <w:tcW w:w="1861" w:type="dxa"/>
            <w:tcBorders>
              <w:top w:val="nil"/>
              <w:left w:val="nil"/>
              <w:bottom w:val="nil"/>
              <w:right w:val="nil"/>
            </w:tcBorders>
            <w:shd w:val="clear" w:color="auto" w:fill="auto"/>
            <w:vAlign w:val="center"/>
          </w:tcPr>
          <w:p w14:paraId="4A9BFFE5" w14:textId="0D22F214"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2,049,400</w:t>
            </w:r>
          </w:p>
        </w:tc>
        <w:tc>
          <w:tcPr>
            <w:tcW w:w="1541" w:type="dxa"/>
            <w:tcBorders>
              <w:top w:val="nil"/>
              <w:left w:val="nil"/>
              <w:bottom w:val="nil"/>
              <w:right w:val="nil"/>
            </w:tcBorders>
            <w:shd w:val="clear" w:color="auto" w:fill="auto"/>
            <w:noWrap/>
            <w:vAlign w:val="center"/>
          </w:tcPr>
          <w:p w14:paraId="5DB4C20A" w14:textId="70712A89"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1,856,107</w:t>
            </w:r>
          </w:p>
        </w:tc>
      </w:tr>
      <w:tr w:rsidR="00495094" w:rsidRPr="00495094" w14:paraId="4A01F2AA" w14:textId="77777777" w:rsidTr="008B16CE">
        <w:trPr>
          <w:trHeight w:val="229"/>
        </w:trPr>
        <w:tc>
          <w:tcPr>
            <w:tcW w:w="4854" w:type="dxa"/>
            <w:tcBorders>
              <w:left w:val="nil"/>
              <w:bottom w:val="nil"/>
              <w:right w:val="nil"/>
            </w:tcBorders>
            <w:shd w:val="clear" w:color="auto" w:fill="auto"/>
            <w:noWrap/>
            <w:vAlign w:val="center"/>
            <w:hideMark/>
          </w:tcPr>
          <w:p w14:paraId="2BC765B6" w14:textId="1AA52E73" w:rsidR="00814095" w:rsidRPr="00495094" w:rsidRDefault="00814095" w:rsidP="00814095">
            <w:pPr>
              <w:jc w:val="left"/>
              <w:rPr>
                <w:rFonts w:ascii="Arial" w:hAnsi="Arial" w:cs="Arial"/>
                <w:sz w:val="22"/>
                <w:szCs w:val="22"/>
                <w:lang w:val="en-PH" w:eastAsia="en-PH"/>
              </w:rPr>
            </w:pPr>
            <w:r w:rsidRPr="00495094">
              <w:rPr>
                <w:rFonts w:ascii="Arial" w:hAnsi="Arial" w:cs="Arial"/>
                <w:sz w:val="22"/>
                <w:szCs w:val="22"/>
                <w:lang w:eastAsia="en-PH"/>
              </w:rPr>
              <w:t>Fees and commissions</w:t>
            </w:r>
          </w:p>
        </w:tc>
        <w:tc>
          <w:tcPr>
            <w:tcW w:w="1861" w:type="dxa"/>
            <w:tcBorders>
              <w:left w:val="nil"/>
              <w:bottom w:val="nil"/>
              <w:right w:val="nil"/>
            </w:tcBorders>
            <w:shd w:val="clear" w:color="auto" w:fill="auto"/>
            <w:vAlign w:val="center"/>
          </w:tcPr>
          <w:p w14:paraId="1B95BD7A" w14:textId="18289400"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1,602,450</w:t>
            </w:r>
          </w:p>
        </w:tc>
        <w:tc>
          <w:tcPr>
            <w:tcW w:w="1541" w:type="dxa"/>
            <w:tcBorders>
              <w:left w:val="nil"/>
              <w:bottom w:val="nil"/>
              <w:right w:val="nil"/>
            </w:tcBorders>
            <w:shd w:val="clear" w:color="auto" w:fill="auto"/>
            <w:noWrap/>
            <w:vAlign w:val="center"/>
            <w:hideMark/>
          </w:tcPr>
          <w:p w14:paraId="5A92BA4D" w14:textId="2EEF0122"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465,854</w:t>
            </w:r>
          </w:p>
        </w:tc>
      </w:tr>
      <w:tr w:rsidR="00495094" w:rsidRPr="00495094" w14:paraId="3CFB95B8" w14:textId="77777777" w:rsidTr="008B16CE">
        <w:trPr>
          <w:trHeight w:val="81"/>
        </w:trPr>
        <w:tc>
          <w:tcPr>
            <w:tcW w:w="4854" w:type="dxa"/>
            <w:tcBorders>
              <w:top w:val="nil"/>
              <w:left w:val="nil"/>
              <w:bottom w:val="nil"/>
              <w:right w:val="nil"/>
            </w:tcBorders>
            <w:shd w:val="clear" w:color="auto" w:fill="auto"/>
            <w:noWrap/>
            <w:vAlign w:val="center"/>
            <w:hideMark/>
          </w:tcPr>
          <w:p w14:paraId="06EE6F0F" w14:textId="2668824B"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Rent</w:t>
            </w:r>
          </w:p>
        </w:tc>
        <w:tc>
          <w:tcPr>
            <w:tcW w:w="1861" w:type="dxa"/>
            <w:tcBorders>
              <w:top w:val="nil"/>
              <w:left w:val="nil"/>
              <w:bottom w:val="nil"/>
              <w:right w:val="nil"/>
            </w:tcBorders>
            <w:shd w:val="clear" w:color="auto" w:fill="auto"/>
            <w:vAlign w:val="center"/>
          </w:tcPr>
          <w:p w14:paraId="04273BD0" w14:textId="533CF66F"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1,354,955</w:t>
            </w:r>
          </w:p>
        </w:tc>
        <w:tc>
          <w:tcPr>
            <w:tcW w:w="1541" w:type="dxa"/>
            <w:tcBorders>
              <w:top w:val="nil"/>
              <w:left w:val="nil"/>
              <w:bottom w:val="nil"/>
              <w:right w:val="nil"/>
            </w:tcBorders>
            <w:shd w:val="clear" w:color="auto" w:fill="auto"/>
            <w:noWrap/>
            <w:vAlign w:val="center"/>
            <w:hideMark/>
          </w:tcPr>
          <w:p w14:paraId="702E583A" w14:textId="3A507E94"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1,108,644</w:t>
            </w:r>
          </w:p>
        </w:tc>
      </w:tr>
      <w:tr w:rsidR="00495094" w:rsidRPr="00495094" w14:paraId="006BDD8B" w14:textId="77777777" w:rsidTr="008B16CE">
        <w:trPr>
          <w:trHeight w:val="81"/>
        </w:trPr>
        <w:tc>
          <w:tcPr>
            <w:tcW w:w="4854" w:type="dxa"/>
            <w:tcBorders>
              <w:top w:val="nil"/>
              <w:left w:val="nil"/>
              <w:bottom w:val="nil"/>
              <w:right w:val="nil"/>
            </w:tcBorders>
            <w:shd w:val="clear" w:color="auto" w:fill="auto"/>
            <w:noWrap/>
            <w:vAlign w:val="center"/>
          </w:tcPr>
          <w:p w14:paraId="33406253" w14:textId="620C65E2"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Advertising &amp; Publicity</w:t>
            </w:r>
          </w:p>
        </w:tc>
        <w:tc>
          <w:tcPr>
            <w:tcW w:w="1861" w:type="dxa"/>
            <w:tcBorders>
              <w:top w:val="nil"/>
              <w:left w:val="nil"/>
              <w:bottom w:val="nil"/>
              <w:right w:val="nil"/>
            </w:tcBorders>
            <w:shd w:val="clear" w:color="auto" w:fill="auto"/>
            <w:vAlign w:val="center"/>
          </w:tcPr>
          <w:p w14:paraId="4808C86B" w14:textId="6BE12635"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1,343,545</w:t>
            </w:r>
          </w:p>
        </w:tc>
        <w:tc>
          <w:tcPr>
            <w:tcW w:w="1541" w:type="dxa"/>
            <w:tcBorders>
              <w:top w:val="nil"/>
              <w:left w:val="nil"/>
              <w:bottom w:val="nil"/>
              <w:right w:val="nil"/>
            </w:tcBorders>
            <w:shd w:val="clear" w:color="auto" w:fill="auto"/>
            <w:noWrap/>
            <w:vAlign w:val="center"/>
          </w:tcPr>
          <w:p w14:paraId="13FD888A" w14:textId="502A4D28"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5,334,177</w:t>
            </w:r>
          </w:p>
        </w:tc>
      </w:tr>
      <w:tr w:rsidR="00495094" w:rsidRPr="00495094" w14:paraId="57BF2AB7" w14:textId="77777777" w:rsidTr="008B16CE">
        <w:trPr>
          <w:trHeight w:val="81"/>
        </w:trPr>
        <w:tc>
          <w:tcPr>
            <w:tcW w:w="4854" w:type="dxa"/>
            <w:tcBorders>
              <w:top w:val="nil"/>
              <w:left w:val="nil"/>
              <w:bottom w:val="nil"/>
              <w:right w:val="nil"/>
            </w:tcBorders>
            <w:shd w:val="clear" w:color="auto" w:fill="auto"/>
            <w:noWrap/>
            <w:vAlign w:val="center"/>
          </w:tcPr>
          <w:p w14:paraId="2ABACD69" w14:textId="5B2A25A8"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 xml:space="preserve">Travelling </w:t>
            </w:r>
          </w:p>
        </w:tc>
        <w:tc>
          <w:tcPr>
            <w:tcW w:w="1861" w:type="dxa"/>
            <w:tcBorders>
              <w:top w:val="nil"/>
              <w:left w:val="nil"/>
              <w:bottom w:val="nil"/>
              <w:right w:val="nil"/>
            </w:tcBorders>
            <w:shd w:val="clear" w:color="auto" w:fill="auto"/>
            <w:vAlign w:val="center"/>
          </w:tcPr>
          <w:p w14:paraId="5B670983" w14:textId="6D414108"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1,223,200</w:t>
            </w:r>
          </w:p>
        </w:tc>
        <w:tc>
          <w:tcPr>
            <w:tcW w:w="1541" w:type="dxa"/>
            <w:tcBorders>
              <w:top w:val="nil"/>
              <w:left w:val="nil"/>
              <w:bottom w:val="nil"/>
              <w:right w:val="nil"/>
            </w:tcBorders>
            <w:shd w:val="clear" w:color="auto" w:fill="auto"/>
            <w:noWrap/>
            <w:vAlign w:val="center"/>
          </w:tcPr>
          <w:p w14:paraId="1AE4D4A9" w14:textId="7E131EC7"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738,713</w:t>
            </w:r>
          </w:p>
        </w:tc>
      </w:tr>
      <w:tr w:rsidR="00495094" w:rsidRPr="00495094" w14:paraId="646DB7CA" w14:textId="77777777" w:rsidTr="008B16CE">
        <w:trPr>
          <w:trHeight w:val="81"/>
        </w:trPr>
        <w:tc>
          <w:tcPr>
            <w:tcW w:w="4854" w:type="dxa"/>
            <w:tcBorders>
              <w:top w:val="nil"/>
              <w:left w:val="nil"/>
              <w:bottom w:val="nil"/>
              <w:right w:val="nil"/>
            </w:tcBorders>
            <w:shd w:val="clear" w:color="auto" w:fill="auto"/>
            <w:noWrap/>
            <w:vAlign w:val="center"/>
          </w:tcPr>
          <w:p w14:paraId="53E5D094" w14:textId="522224F3" w:rsidR="00814095" w:rsidRPr="00495094" w:rsidDel="00AA2AA2" w:rsidRDefault="00814095" w:rsidP="00814095">
            <w:pPr>
              <w:jc w:val="left"/>
              <w:rPr>
                <w:rFonts w:ascii="Arial" w:hAnsi="Arial" w:cs="Arial"/>
                <w:sz w:val="22"/>
                <w:szCs w:val="22"/>
              </w:rPr>
            </w:pPr>
            <w:r w:rsidRPr="00495094">
              <w:rPr>
                <w:rFonts w:ascii="Arial" w:hAnsi="Arial" w:cs="Arial"/>
                <w:sz w:val="22"/>
                <w:szCs w:val="22"/>
                <w:lang w:eastAsia="en-PH"/>
              </w:rPr>
              <w:t>Security, clerical, messengerial and janitorial</w:t>
            </w:r>
          </w:p>
        </w:tc>
        <w:tc>
          <w:tcPr>
            <w:tcW w:w="1861" w:type="dxa"/>
            <w:tcBorders>
              <w:top w:val="nil"/>
              <w:left w:val="nil"/>
              <w:bottom w:val="nil"/>
              <w:right w:val="nil"/>
            </w:tcBorders>
            <w:shd w:val="clear" w:color="auto" w:fill="auto"/>
            <w:vAlign w:val="center"/>
          </w:tcPr>
          <w:p w14:paraId="327F92A9" w14:textId="5BE6CC3F" w:rsidR="00814095" w:rsidRPr="00495094" w:rsidDel="00AA2AA2" w:rsidRDefault="00814095" w:rsidP="00814095">
            <w:pPr>
              <w:jc w:val="right"/>
              <w:rPr>
                <w:rFonts w:ascii="Arial" w:hAnsi="Arial" w:cs="Arial"/>
                <w:sz w:val="22"/>
                <w:szCs w:val="22"/>
              </w:rPr>
            </w:pPr>
            <w:r w:rsidRPr="00495094">
              <w:rPr>
                <w:rFonts w:ascii="Arial" w:hAnsi="Arial" w:cs="Arial"/>
                <w:sz w:val="22"/>
                <w:szCs w:val="22"/>
                <w:lang w:eastAsia="en-PH"/>
              </w:rPr>
              <w:t>890,045</w:t>
            </w:r>
          </w:p>
        </w:tc>
        <w:tc>
          <w:tcPr>
            <w:tcW w:w="1541" w:type="dxa"/>
            <w:tcBorders>
              <w:top w:val="nil"/>
              <w:left w:val="nil"/>
              <w:bottom w:val="nil"/>
              <w:right w:val="nil"/>
            </w:tcBorders>
            <w:shd w:val="clear" w:color="auto" w:fill="auto"/>
            <w:noWrap/>
            <w:vAlign w:val="center"/>
          </w:tcPr>
          <w:p w14:paraId="632A2F84" w14:textId="04B91799" w:rsidR="00814095" w:rsidRPr="00495094" w:rsidDel="00AA2AA2" w:rsidRDefault="00814095" w:rsidP="00814095">
            <w:pPr>
              <w:jc w:val="right"/>
              <w:rPr>
                <w:rFonts w:ascii="Arial" w:hAnsi="Arial" w:cs="Arial"/>
                <w:sz w:val="22"/>
                <w:szCs w:val="22"/>
              </w:rPr>
            </w:pPr>
            <w:r w:rsidRPr="00495094">
              <w:rPr>
                <w:rFonts w:ascii="Arial" w:hAnsi="Arial" w:cs="Arial"/>
                <w:sz w:val="22"/>
                <w:szCs w:val="22"/>
                <w:lang w:eastAsia="en-PH"/>
              </w:rPr>
              <w:t>2,535,166</w:t>
            </w:r>
          </w:p>
        </w:tc>
      </w:tr>
      <w:tr w:rsidR="00495094" w:rsidRPr="00495094" w14:paraId="59AD40FC" w14:textId="77777777" w:rsidTr="008B16CE">
        <w:trPr>
          <w:trHeight w:val="81"/>
        </w:trPr>
        <w:tc>
          <w:tcPr>
            <w:tcW w:w="4854" w:type="dxa"/>
            <w:tcBorders>
              <w:top w:val="nil"/>
              <w:left w:val="nil"/>
              <w:bottom w:val="nil"/>
              <w:right w:val="nil"/>
            </w:tcBorders>
            <w:shd w:val="clear" w:color="auto" w:fill="auto"/>
            <w:noWrap/>
            <w:vAlign w:val="center"/>
          </w:tcPr>
          <w:p w14:paraId="7CAB9FEF" w14:textId="46E3C9B9"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Stationeries and supplies</w:t>
            </w:r>
          </w:p>
        </w:tc>
        <w:tc>
          <w:tcPr>
            <w:tcW w:w="1861" w:type="dxa"/>
            <w:tcBorders>
              <w:top w:val="nil"/>
              <w:left w:val="nil"/>
              <w:bottom w:val="nil"/>
              <w:right w:val="nil"/>
            </w:tcBorders>
            <w:shd w:val="clear" w:color="auto" w:fill="auto"/>
            <w:vAlign w:val="center"/>
          </w:tcPr>
          <w:p w14:paraId="5F23893C" w14:textId="4923DE4F"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834,857</w:t>
            </w:r>
          </w:p>
        </w:tc>
        <w:tc>
          <w:tcPr>
            <w:tcW w:w="1541" w:type="dxa"/>
            <w:tcBorders>
              <w:top w:val="nil"/>
              <w:left w:val="nil"/>
              <w:bottom w:val="nil"/>
              <w:right w:val="nil"/>
            </w:tcBorders>
            <w:shd w:val="clear" w:color="auto" w:fill="auto"/>
            <w:noWrap/>
            <w:vAlign w:val="center"/>
          </w:tcPr>
          <w:p w14:paraId="7154B4E9" w14:textId="267F86DC"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14,469</w:t>
            </w:r>
          </w:p>
        </w:tc>
      </w:tr>
      <w:tr w:rsidR="00495094" w:rsidRPr="00495094" w14:paraId="7A002A03" w14:textId="77777777" w:rsidTr="008B16CE">
        <w:trPr>
          <w:trHeight w:val="81"/>
        </w:trPr>
        <w:tc>
          <w:tcPr>
            <w:tcW w:w="4854" w:type="dxa"/>
            <w:tcBorders>
              <w:top w:val="nil"/>
              <w:left w:val="nil"/>
              <w:bottom w:val="nil"/>
              <w:right w:val="nil"/>
            </w:tcBorders>
            <w:shd w:val="clear" w:color="auto" w:fill="auto"/>
            <w:noWrap/>
            <w:vAlign w:val="center"/>
          </w:tcPr>
          <w:p w14:paraId="1374AB4A" w14:textId="1F0EDBBE"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Salaries and wages</w:t>
            </w:r>
          </w:p>
        </w:tc>
        <w:tc>
          <w:tcPr>
            <w:tcW w:w="1861" w:type="dxa"/>
            <w:tcBorders>
              <w:top w:val="nil"/>
              <w:left w:val="nil"/>
              <w:bottom w:val="nil"/>
              <w:right w:val="nil"/>
            </w:tcBorders>
            <w:shd w:val="clear" w:color="auto" w:fill="auto"/>
            <w:vAlign w:val="center"/>
          </w:tcPr>
          <w:p w14:paraId="7DDBF053" w14:textId="55A26769"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646,961</w:t>
            </w:r>
          </w:p>
        </w:tc>
        <w:tc>
          <w:tcPr>
            <w:tcW w:w="1541" w:type="dxa"/>
            <w:tcBorders>
              <w:top w:val="nil"/>
              <w:left w:val="nil"/>
              <w:bottom w:val="nil"/>
              <w:right w:val="nil"/>
            </w:tcBorders>
            <w:shd w:val="clear" w:color="auto" w:fill="auto"/>
            <w:noWrap/>
            <w:vAlign w:val="center"/>
          </w:tcPr>
          <w:p w14:paraId="799F9410" w14:textId="315FB144"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56,970</w:t>
            </w:r>
          </w:p>
        </w:tc>
      </w:tr>
      <w:tr w:rsidR="00495094" w:rsidRPr="00495094" w14:paraId="791DFA62" w14:textId="77777777" w:rsidTr="008B16CE">
        <w:trPr>
          <w:trHeight w:val="81"/>
        </w:trPr>
        <w:tc>
          <w:tcPr>
            <w:tcW w:w="4854" w:type="dxa"/>
            <w:tcBorders>
              <w:top w:val="nil"/>
              <w:left w:val="nil"/>
              <w:bottom w:val="nil"/>
              <w:right w:val="nil"/>
            </w:tcBorders>
            <w:shd w:val="clear" w:color="auto" w:fill="auto"/>
            <w:noWrap/>
            <w:vAlign w:val="center"/>
            <w:hideMark/>
          </w:tcPr>
          <w:p w14:paraId="53A5DF5E" w14:textId="578338E4"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Power, light and water</w:t>
            </w:r>
          </w:p>
        </w:tc>
        <w:tc>
          <w:tcPr>
            <w:tcW w:w="1861" w:type="dxa"/>
            <w:tcBorders>
              <w:top w:val="nil"/>
              <w:left w:val="nil"/>
              <w:bottom w:val="nil"/>
              <w:right w:val="nil"/>
            </w:tcBorders>
            <w:shd w:val="clear" w:color="auto" w:fill="auto"/>
            <w:vAlign w:val="center"/>
          </w:tcPr>
          <w:p w14:paraId="1D7704E6" w14:textId="54D8964B"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599,848</w:t>
            </w:r>
          </w:p>
        </w:tc>
        <w:tc>
          <w:tcPr>
            <w:tcW w:w="1541" w:type="dxa"/>
            <w:tcBorders>
              <w:top w:val="nil"/>
              <w:left w:val="nil"/>
              <w:bottom w:val="nil"/>
              <w:right w:val="nil"/>
            </w:tcBorders>
            <w:shd w:val="clear" w:color="auto" w:fill="auto"/>
            <w:noWrap/>
            <w:vAlign w:val="center"/>
            <w:hideMark/>
          </w:tcPr>
          <w:p w14:paraId="7A03A6AB" w14:textId="73A1CEB3"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141,000</w:t>
            </w:r>
          </w:p>
        </w:tc>
      </w:tr>
      <w:tr w:rsidR="00495094" w:rsidRPr="00495094" w14:paraId="52E4DF5F" w14:textId="77777777" w:rsidTr="008B16CE">
        <w:trPr>
          <w:trHeight w:val="91"/>
        </w:trPr>
        <w:tc>
          <w:tcPr>
            <w:tcW w:w="4854" w:type="dxa"/>
            <w:tcBorders>
              <w:top w:val="nil"/>
              <w:left w:val="nil"/>
              <w:bottom w:val="nil"/>
              <w:right w:val="nil"/>
            </w:tcBorders>
            <w:shd w:val="clear" w:color="auto" w:fill="auto"/>
            <w:noWrap/>
            <w:vAlign w:val="center"/>
            <w:hideMark/>
          </w:tcPr>
          <w:p w14:paraId="75E7A22B" w14:textId="4F067BF6"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Others</w:t>
            </w:r>
          </w:p>
        </w:tc>
        <w:tc>
          <w:tcPr>
            <w:tcW w:w="1861" w:type="dxa"/>
            <w:tcBorders>
              <w:top w:val="nil"/>
              <w:left w:val="nil"/>
              <w:bottom w:val="nil"/>
              <w:right w:val="nil"/>
            </w:tcBorders>
            <w:shd w:val="clear" w:color="auto" w:fill="auto"/>
            <w:vAlign w:val="center"/>
          </w:tcPr>
          <w:p w14:paraId="52453C16" w14:textId="785623DC"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325,010</w:t>
            </w:r>
          </w:p>
        </w:tc>
        <w:tc>
          <w:tcPr>
            <w:tcW w:w="1541" w:type="dxa"/>
            <w:tcBorders>
              <w:top w:val="nil"/>
              <w:left w:val="nil"/>
              <w:bottom w:val="nil"/>
              <w:right w:val="nil"/>
            </w:tcBorders>
            <w:shd w:val="clear" w:color="auto" w:fill="auto"/>
            <w:noWrap/>
            <w:vAlign w:val="center"/>
            <w:hideMark/>
          </w:tcPr>
          <w:p w14:paraId="451F0A8F" w14:textId="7ED94743"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451,113</w:t>
            </w:r>
          </w:p>
        </w:tc>
      </w:tr>
      <w:tr w:rsidR="00495094" w:rsidRPr="00495094" w14:paraId="16F1334F" w14:textId="77777777" w:rsidTr="008B16CE">
        <w:trPr>
          <w:trHeight w:val="229"/>
        </w:trPr>
        <w:tc>
          <w:tcPr>
            <w:tcW w:w="4854" w:type="dxa"/>
            <w:tcBorders>
              <w:top w:val="nil"/>
              <w:left w:val="nil"/>
              <w:bottom w:val="nil"/>
              <w:right w:val="nil"/>
            </w:tcBorders>
            <w:shd w:val="clear" w:color="auto" w:fill="auto"/>
            <w:noWrap/>
            <w:vAlign w:val="center"/>
          </w:tcPr>
          <w:p w14:paraId="0F51CFF6" w14:textId="576AB98D"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Fuel and lubricants</w:t>
            </w:r>
          </w:p>
        </w:tc>
        <w:tc>
          <w:tcPr>
            <w:tcW w:w="1861" w:type="dxa"/>
            <w:tcBorders>
              <w:top w:val="nil"/>
              <w:left w:val="nil"/>
              <w:bottom w:val="nil"/>
              <w:right w:val="nil"/>
            </w:tcBorders>
            <w:shd w:val="clear" w:color="auto" w:fill="auto"/>
            <w:vAlign w:val="center"/>
          </w:tcPr>
          <w:p w14:paraId="50A3D467" w14:textId="78E98660"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151,978</w:t>
            </w:r>
          </w:p>
        </w:tc>
        <w:tc>
          <w:tcPr>
            <w:tcW w:w="1541" w:type="dxa"/>
            <w:tcBorders>
              <w:top w:val="nil"/>
              <w:left w:val="nil"/>
              <w:bottom w:val="nil"/>
              <w:right w:val="nil"/>
            </w:tcBorders>
            <w:shd w:val="clear" w:color="auto" w:fill="auto"/>
            <w:noWrap/>
            <w:vAlign w:val="center"/>
          </w:tcPr>
          <w:p w14:paraId="38184A8F" w14:textId="530BDFE5"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42,764</w:t>
            </w:r>
          </w:p>
        </w:tc>
      </w:tr>
      <w:tr w:rsidR="00495094" w:rsidRPr="00495094" w14:paraId="77376977" w14:textId="77777777" w:rsidTr="0051778A">
        <w:trPr>
          <w:trHeight w:val="229"/>
        </w:trPr>
        <w:tc>
          <w:tcPr>
            <w:tcW w:w="4854" w:type="dxa"/>
            <w:tcBorders>
              <w:top w:val="nil"/>
              <w:left w:val="nil"/>
              <w:bottom w:val="single" w:sz="4" w:space="0" w:color="auto"/>
              <w:right w:val="nil"/>
            </w:tcBorders>
            <w:shd w:val="clear" w:color="auto" w:fill="auto"/>
            <w:noWrap/>
            <w:vAlign w:val="center"/>
          </w:tcPr>
          <w:p w14:paraId="244572B4" w14:textId="565685C1" w:rsidR="00814095" w:rsidRPr="00495094" w:rsidRDefault="00814095" w:rsidP="00814095">
            <w:pPr>
              <w:jc w:val="left"/>
              <w:rPr>
                <w:rFonts w:ascii="Arial" w:hAnsi="Arial" w:cs="Arial"/>
                <w:sz w:val="22"/>
                <w:szCs w:val="22"/>
              </w:rPr>
            </w:pPr>
            <w:r w:rsidRPr="00495094">
              <w:rPr>
                <w:rFonts w:ascii="Arial" w:hAnsi="Arial" w:cs="Arial"/>
                <w:sz w:val="22"/>
                <w:szCs w:val="22"/>
                <w:lang w:eastAsia="en-PH"/>
              </w:rPr>
              <w:t>Repairs and maintenance</w:t>
            </w:r>
          </w:p>
        </w:tc>
        <w:tc>
          <w:tcPr>
            <w:tcW w:w="1861" w:type="dxa"/>
            <w:tcBorders>
              <w:top w:val="nil"/>
              <w:left w:val="nil"/>
              <w:bottom w:val="single" w:sz="4" w:space="0" w:color="auto"/>
              <w:right w:val="nil"/>
            </w:tcBorders>
            <w:shd w:val="clear" w:color="auto" w:fill="auto"/>
            <w:vAlign w:val="center"/>
          </w:tcPr>
          <w:p w14:paraId="174E2302" w14:textId="15B7D268"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0</w:t>
            </w:r>
          </w:p>
        </w:tc>
        <w:tc>
          <w:tcPr>
            <w:tcW w:w="1541" w:type="dxa"/>
            <w:tcBorders>
              <w:top w:val="nil"/>
              <w:left w:val="nil"/>
              <w:bottom w:val="single" w:sz="4" w:space="0" w:color="auto"/>
              <w:right w:val="nil"/>
            </w:tcBorders>
            <w:shd w:val="clear" w:color="auto" w:fill="auto"/>
            <w:noWrap/>
            <w:vAlign w:val="center"/>
          </w:tcPr>
          <w:p w14:paraId="2BA1BF5F" w14:textId="17B9865A" w:rsidR="00814095" w:rsidRPr="00495094" w:rsidRDefault="00814095" w:rsidP="00814095">
            <w:pPr>
              <w:jc w:val="right"/>
              <w:rPr>
                <w:rFonts w:ascii="Arial" w:hAnsi="Arial" w:cs="Arial"/>
                <w:sz w:val="22"/>
                <w:szCs w:val="22"/>
              </w:rPr>
            </w:pPr>
            <w:r w:rsidRPr="00495094">
              <w:rPr>
                <w:rFonts w:ascii="Arial" w:hAnsi="Arial" w:cs="Arial"/>
                <w:sz w:val="22"/>
                <w:szCs w:val="22"/>
                <w:lang w:eastAsia="en-PH"/>
              </w:rPr>
              <w:t>82,908</w:t>
            </w:r>
          </w:p>
        </w:tc>
      </w:tr>
      <w:tr w:rsidR="00495094" w:rsidRPr="00495094" w14:paraId="639E1CB8" w14:textId="77777777" w:rsidTr="0051778A">
        <w:trPr>
          <w:trHeight w:val="71"/>
        </w:trPr>
        <w:tc>
          <w:tcPr>
            <w:tcW w:w="4854" w:type="dxa"/>
            <w:tcBorders>
              <w:top w:val="single" w:sz="4" w:space="0" w:color="auto"/>
              <w:left w:val="nil"/>
              <w:bottom w:val="double" w:sz="6" w:space="0" w:color="auto"/>
              <w:right w:val="nil"/>
            </w:tcBorders>
            <w:shd w:val="clear" w:color="auto" w:fill="auto"/>
            <w:noWrap/>
            <w:vAlign w:val="center"/>
            <w:hideMark/>
          </w:tcPr>
          <w:p w14:paraId="3FF0A922" w14:textId="77777777" w:rsidR="00C43CB7" w:rsidRPr="00495094" w:rsidRDefault="00C43CB7" w:rsidP="00C43CB7">
            <w:pPr>
              <w:jc w:val="left"/>
              <w:rPr>
                <w:rFonts w:ascii="Arial" w:hAnsi="Arial" w:cs="Arial"/>
                <w:sz w:val="22"/>
                <w:szCs w:val="22"/>
              </w:rPr>
            </w:pPr>
            <w:r w:rsidRPr="00495094">
              <w:rPr>
                <w:rFonts w:ascii="Arial" w:hAnsi="Arial" w:cs="Arial"/>
                <w:sz w:val="22"/>
                <w:szCs w:val="22"/>
              </w:rPr>
              <w:t> </w:t>
            </w:r>
          </w:p>
        </w:tc>
        <w:tc>
          <w:tcPr>
            <w:tcW w:w="1861" w:type="dxa"/>
            <w:tcBorders>
              <w:top w:val="single" w:sz="4" w:space="0" w:color="auto"/>
              <w:left w:val="nil"/>
              <w:bottom w:val="double" w:sz="6" w:space="0" w:color="auto"/>
              <w:right w:val="nil"/>
            </w:tcBorders>
            <w:shd w:val="clear" w:color="auto" w:fill="auto"/>
            <w:vAlign w:val="center"/>
          </w:tcPr>
          <w:p w14:paraId="0E9558FE" w14:textId="140E5266" w:rsidR="00C43CB7" w:rsidRPr="00495094" w:rsidRDefault="007B0342" w:rsidP="00C43CB7">
            <w:pPr>
              <w:jc w:val="right"/>
              <w:rPr>
                <w:rFonts w:ascii="Arial" w:hAnsi="Arial" w:cs="Arial"/>
                <w:bCs/>
                <w:sz w:val="22"/>
                <w:szCs w:val="22"/>
              </w:rPr>
            </w:pPr>
            <w:r w:rsidRPr="00495094">
              <w:rPr>
                <w:rFonts w:ascii="Arial" w:hAnsi="Arial" w:cs="Arial"/>
                <w:bCs/>
                <w:sz w:val="22"/>
                <w:szCs w:val="22"/>
              </w:rPr>
              <w:t>116,277,411</w:t>
            </w:r>
          </w:p>
        </w:tc>
        <w:tc>
          <w:tcPr>
            <w:tcW w:w="1541" w:type="dxa"/>
            <w:tcBorders>
              <w:top w:val="single" w:sz="4" w:space="0" w:color="auto"/>
              <w:left w:val="nil"/>
              <w:bottom w:val="double" w:sz="6" w:space="0" w:color="auto"/>
              <w:right w:val="nil"/>
            </w:tcBorders>
            <w:shd w:val="clear" w:color="auto" w:fill="auto"/>
            <w:noWrap/>
            <w:vAlign w:val="center"/>
            <w:hideMark/>
          </w:tcPr>
          <w:p w14:paraId="1283C15F" w14:textId="60F62D7C" w:rsidR="00C43CB7" w:rsidRPr="00495094" w:rsidRDefault="0081241E">
            <w:pPr>
              <w:jc w:val="right"/>
              <w:rPr>
                <w:rFonts w:ascii="Arial" w:hAnsi="Arial" w:cs="Arial"/>
                <w:bCs/>
                <w:sz w:val="22"/>
                <w:szCs w:val="22"/>
              </w:rPr>
            </w:pPr>
            <w:r w:rsidRPr="00495094">
              <w:rPr>
                <w:rFonts w:ascii="Arial" w:hAnsi="Arial" w:cs="Arial"/>
                <w:bCs/>
                <w:sz w:val="22"/>
                <w:szCs w:val="22"/>
              </w:rPr>
              <w:t>4</w:t>
            </w:r>
            <w:r w:rsidR="00045FF7" w:rsidRPr="00495094">
              <w:rPr>
                <w:rFonts w:ascii="Arial" w:hAnsi="Arial" w:cs="Arial"/>
                <w:bCs/>
                <w:sz w:val="22"/>
                <w:szCs w:val="22"/>
              </w:rPr>
              <w:t>9</w:t>
            </w:r>
            <w:r w:rsidRPr="00495094">
              <w:rPr>
                <w:rFonts w:ascii="Arial" w:hAnsi="Arial" w:cs="Arial"/>
                <w:bCs/>
                <w:sz w:val="22"/>
                <w:szCs w:val="22"/>
              </w:rPr>
              <w:t>,</w:t>
            </w:r>
            <w:r w:rsidR="005854F6" w:rsidRPr="00495094">
              <w:rPr>
                <w:rFonts w:ascii="Arial" w:hAnsi="Arial" w:cs="Arial"/>
                <w:bCs/>
                <w:sz w:val="22"/>
                <w:szCs w:val="22"/>
              </w:rPr>
              <w:t>628</w:t>
            </w:r>
            <w:r w:rsidRPr="00495094">
              <w:rPr>
                <w:rFonts w:ascii="Arial" w:hAnsi="Arial" w:cs="Arial"/>
                <w:bCs/>
                <w:sz w:val="22"/>
                <w:szCs w:val="22"/>
              </w:rPr>
              <w:t>,</w:t>
            </w:r>
            <w:r w:rsidR="005854F6" w:rsidRPr="00495094">
              <w:rPr>
                <w:rFonts w:ascii="Arial" w:hAnsi="Arial" w:cs="Arial"/>
                <w:bCs/>
                <w:sz w:val="22"/>
                <w:szCs w:val="22"/>
              </w:rPr>
              <w:t>391</w:t>
            </w:r>
          </w:p>
        </w:tc>
      </w:tr>
    </w:tbl>
    <w:p w14:paraId="7D08076A" w14:textId="77777777" w:rsidR="0091624F" w:rsidRPr="00495094" w:rsidRDefault="0091624F" w:rsidP="00D72D61">
      <w:pPr>
        <w:rPr>
          <w:rFonts w:ascii="Arial" w:hAnsi="Arial" w:cs="Arial"/>
          <w:bCs/>
          <w:sz w:val="22"/>
          <w:szCs w:val="22"/>
        </w:rPr>
      </w:pPr>
    </w:p>
    <w:p w14:paraId="4E634031" w14:textId="71F00B80" w:rsidR="00023EED" w:rsidRPr="00495094" w:rsidRDefault="009604BE" w:rsidP="00E0565E">
      <w:pPr>
        <w:pStyle w:val="BodyText3"/>
        <w:tabs>
          <w:tab w:val="clear" w:pos="8550"/>
        </w:tabs>
      </w:pPr>
      <w:r w:rsidRPr="00495094">
        <w:t>As of December 31, 202</w:t>
      </w:r>
      <w:r w:rsidR="00627288" w:rsidRPr="00495094">
        <w:t>2</w:t>
      </w:r>
      <w:r w:rsidR="00E22871" w:rsidRPr="00495094">
        <w:t>, the remaining accrual on E</w:t>
      </w:r>
      <w:r w:rsidRPr="00495094">
        <w:t xml:space="preserve">arly </w:t>
      </w:r>
      <w:r w:rsidR="00E22871" w:rsidRPr="00495094">
        <w:t>R</w:t>
      </w:r>
      <w:r w:rsidRPr="00495094">
        <w:t>etirement Incentive Plan</w:t>
      </w:r>
      <w:r w:rsidR="00E22871" w:rsidRPr="00495094">
        <w:t xml:space="preserve"> is P1.</w:t>
      </w:r>
      <w:r w:rsidR="00627288" w:rsidRPr="00495094">
        <w:t>16</w:t>
      </w:r>
      <w:r w:rsidR="00E22871" w:rsidRPr="00495094">
        <w:t xml:space="preserve"> million</w:t>
      </w:r>
      <w:r w:rsidR="008F3474" w:rsidRPr="00495094">
        <w:t xml:space="preserve"> included under Fringe benefits</w:t>
      </w:r>
      <w:r w:rsidR="00E22871" w:rsidRPr="00495094">
        <w:t>.</w:t>
      </w:r>
      <w:r w:rsidR="00EB1ACD" w:rsidRPr="00495094">
        <w:t xml:space="preserve">  Others includes </w:t>
      </w:r>
      <w:r w:rsidR="002A348D" w:rsidRPr="00495094">
        <w:t xml:space="preserve">provision for fraud losses </w:t>
      </w:r>
      <w:r w:rsidR="003E43EE" w:rsidRPr="00495094">
        <w:t>in compliance with</w:t>
      </w:r>
      <w:r w:rsidR="002A348D" w:rsidRPr="00495094">
        <w:t xml:space="preserve"> BSP Memorandum 2017-019, membership dues to Baiphil and accrual for freight charges to PPC.</w:t>
      </w:r>
    </w:p>
    <w:p w14:paraId="432B5208" w14:textId="77777777" w:rsidR="00E8418D" w:rsidRPr="00495094" w:rsidRDefault="00E8418D" w:rsidP="00D72D61">
      <w:pPr>
        <w:rPr>
          <w:rFonts w:ascii="Arial" w:hAnsi="Arial" w:cs="Arial"/>
          <w:bCs/>
          <w:sz w:val="22"/>
          <w:szCs w:val="22"/>
        </w:rPr>
      </w:pPr>
    </w:p>
    <w:p w14:paraId="4583D2AB" w14:textId="77777777" w:rsidR="00E22871" w:rsidRPr="00495094" w:rsidRDefault="00E22871" w:rsidP="00E0565E">
      <w:pPr>
        <w:pStyle w:val="ListParagraph"/>
        <w:tabs>
          <w:tab w:val="clear" w:pos="1526"/>
        </w:tabs>
        <w:rPr>
          <w:bCs/>
        </w:rPr>
      </w:pPr>
    </w:p>
    <w:p w14:paraId="0CD7BA9C" w14:textId="77777777" w:rsidR="006D37E3" w:rsidRPr="00495094" w:rsidRDefault="00B34369" w:rsidP="007F4EEC">
      <w:pPr>
        <w:numPr>
          <w:ilvl w:val="0"/>
          <w:numId w:val="12"/>
        </w:numPr>
        <w:ind w:left="720"/>
        <w:rPr>
          <w:rFonts w:ascii="Arial" w:hAnsi="Arial" w:cs="Arial"/>
          <w:b/>
          <w:bCs/>
          <w:sz w:val="22"/>
          <w:szCs w:val="22"/>
        </w:rPr>
      </w:pPr>
      <w:r w:rsidRPr="00495094">
        <w:rPr>
          <w:rFonts w:ascii="Arial" w:hAnsi="Arial" w:cs="Arial"/>
          <w:b/>
          <w:bCs/>
          <w:sz w:val="22"/>
          <w:szCs w:val="22"/>
        </w:rPr>
        <w:t>Other Liabilities</w:t>
      </w:r>
    </w:p>
    <w:p w14:paraId="4B1EBA4E" w14:textId="0A02335D" w:rsidR="006D37E3" w:rsidRPr="00495094" w:rsidRDefault="002A348D" w:rsidP="00E0565E">
      <w:pPr>
        <w:pStyle w:val="ListParagraph"/>
        <w:tabs>
          <w:tab w:val="clear" w:pos="1526"/>
        </w:tabs>
      </w:pPr>
      <w:r w:rsidRPr="00495094">
        <w:t xml:space="preserve"> </w:t>
      </w:r>
    </w:p>
    <w:p w14:paraId="74DE0EAF" w14:textId="77777777" w:rsidR="006D37E3" w:rsidRPr="00495094" w:rsidRDefault="006D37E3" w:rsidP="008D0E35">
      <w:pPr>
        <w:rPr>
          <w:rFonts w:ascii="Arial" w:hAnsi="Arial" w:cs="Arial"/>
          <w:sz w:val="22"/>
          <w:szCs w:val="22"/>
        </w:rPr>
      </w:pPr>
      <w:r w:rsidRPr="00495094">
        <w:rPr>
          <w:rFonts w:ascii="Arial" w:hAnsi="Arial" w:cs="Arial"/>
          <w:sz w:val="22"/>
          <w:szCs w:val="22"/>
        </w:rPr>
        <w:t>This account comprises</w:t>
      </w:r>
      <w:r w:rsidR="00182813" w:rsidRPr="00495094">
        <w:rPr>
          <w:rFonts w:ascii="Arial" w:hAnsi="Arial" w:cs="Arial"/>
          <w:sz w:val="22"/>
          <w:szCs w:val="22"/>
        </w:rPr>
        <w:t xml:space="preserve"> of</w:t>
      </w:r>
      <w:r w:rsidRPr="00495094">
        <w:rPr>
          <w:rFonts w:ascii="Arial" w:hAnsi="Arial" w:cs="Arial"/>
          <w:sz w:val="22"/>
          <w:szCs w:val="22"/>
        </w:rPr>
        <w:t>:</w:t>
      </w:r>
    </w:p>
    <w:p w14:paraId="05E6534D" w14:textId="72BCF2DC" w:rsidR="006D37E3" w:rsidRPr="00495094" w:rsidRDefault="006D37E3" w:rsidP="00E0565E">
      <w:pPr>
        <w:pStyle w:val="ListParagraph"/>
        <w:tabs>
          <w:tab w:val="clear" w:pos="1526"/>
        </w:tabs>
      </w:pPr>
    </w:p>
    <w:tbl>
      <w:tblPr>
        <w:tblW w:w="8221" w:type="dxa"/>
        <w:tblInd w:w="142" w:type="dxa"/>
        <w:tblLayout w:type="fixed"/>
        <w:tblLook w:val="04A0" w:firstRow="1" w:lastRow="0" w:firstColumn="1" w:lastColumn="0" w:noHBand="0" w:noVBand="1"/>
      </w:tblPr>
      <w:tblGrid>
        <w:gridCol w:w="4961"/>
        <w:gridCol w:w="1701"/>
        <w:gridCol w:w="1559"/>
      </w:tblGrid>
      <w:tr w:rsidR="00495094" w:rsidRPr="00495094" w14:paraId="5DFA6BA7" w14:textId="77777777" w:rsidTr="00E83C84">
        <w:trPr>
          <w:trHeight w:val="253"/>
          <w:tblHeader/>
        </w:trPr>
        <w:tc>
          <w:tcPr>
            <w:tcW w:w="4961" w:type="dxa"/>
            <w:tcBorders>
              <w:top w:val="single" w:sz="4" w:space="0" w:color="auto"/>
              <w:left w:val="nil"/>
              <w:bottom w:val="single" w:sz="4" w:space="0" w:color="auto"/>
              <w:right w:val="nil"/>
            </w:tcBorders>
            <w:shd w:val="clear" w:color="auto" w:fill="auto"/>
            <w:vAlign w:val="center"/>
          </w:tcPr>
          <w:p w14:paraId="70167109" w14:textId="77777777" w:rsidR="00A55DE8" w:rsidRPr="00495094" w:rsidRDefault="00A55DE8" w:rsidP="00A55DE8">
            <w:pPr>
              <w:rPr>
                <w:rFonts w:ascii="Arial" w:hAnsi="Arial" w:cs="Arial"/>
                <w:sz w:val="22"/>
                <w:szCs w:val="22"/>
                <w:lang w:val="en-PH" w:eastAsia="en-PH"/>
              </w:rPr>
            </w:pPr>
            <w:r w:rsidRPr="00495094">
              <w:rPr>
                <w:rFonts w:ascii="Arial" w:hAnsi="Arial" w:cs="Arial"/>
                <w:sz w:val="22"/>
                <w:szCs w:val="22"/>
              </w:rPr>
              <w:t> </w:t>
            </w:r>
          </w:p>
        </w:tc>
        <w:tc>
          <w:tcPr>
            <w:tcW w:w="1701" w:type="dxa"/>
            <w:tcBorders>
              <w:top w:val="single" w:sz="4" w:space="0" w:color="auto"/>
              <w:left w:val="nil"/>
              <w:bottom w:val="single" w:sz="4" w:space="0" w:color="auto"/>
              <w:right w:val="nil"/>
            </w:tcBorders>
            <w:shd w:val="clear" w:color="auto" w:fill="auto"/>
          </w:tcPr>
          <w:p w14:paraId="27FB4BB9" w14:textId="73ED90F1" w:rsidR="00A55DE8" w:rsidRPr="00495094" w:rsidRDefault="00AE6F98" w:rsidP="004A346E">
            <w:pPr>
              <w:jc w:val="center"/>
              <w:rPr>
                <w:rFonts w:ascii="Arial" w:hAnsi="Arial" w:cs="Arial"/>
                <w:b/>
                <w:bCs/>
                <w:sz w:val="22"/>
                <w:szCs w:val="22"/>
              </w:rPr>
            </w:pPr>
            <w:r w:rsidRPr="00495094">
              <w:rPr>
                <w:rFonts w:ascii="Arial" w:hAnsi="Arial" w:cs="Arial"/>
                <w:b/>
                <w:bCs/>
                <w:sz w:val="22"/>
                <w:szCs w:val="22"/>
              </w:rPr>
              <w:t>202</w:t>
            </w:r>
            <w:r w:rsidR="004A346E" w:rsidRPr="00495094">
              <w:rPr>
                <w:rFonts w:ascii="Arial" w:hAnsi="Arial" w:cs="Arial"/>
                <w:b/>
                <w:bCs/>
                <w:sz w:val="22"/>
                <w:szCs w:val="22"/>
              </w:rPr>
              <w:t>2</w:t>
            </w:r>
          </w:p>
        </w:tc>
        <w:tc>
          <w:tcPr>
            <w:tcW w:w="1559" w:type="dxa"/>
            <w:tcBorders>
              <w:top w:val="single" w:sz="4" w:space="0" w:color="auto"/>
              <w:left w:val="nil"/>
              <w:bottom w:val="single" w:sz="4" w:space="0" w:color="auto"/>
              <w:right w:val="nil"/>
            </w:tcBorders>
            <w:shd w:val="clear" w:color="auto" w:fill="auto"/>
            <w:vAlign w:val="center"/>
          </w:tcPr>
          <w:p w14:paraId="50C81139" w14:textId="04C2665B" w:rsidR="00965980" w:rsidRPr="00495094" w:rsidRDefault="00AE6F98" w:rsidP="00D72D61">
            <w:pPr>
              <w:ind w:right="-97"/>
              <w:jc w:val="center"/>
              <w:rPr>
                <w:rFonts w:ascii="Arial" w:hAnsi="Arial" w:cs="Arial"/>
                <w:b/>
                <w:bCs/>
                <w:sz w:val="22"/>
                <w:szCs w:val="22"/>
              </w:rPr>
            </w:pPr>
            <w:r w:rsidRPr="00495094">
              <w:rPr>
                <w:rFonts w:ascii="Arial" w:hAnsi="Arial" w:cs="Arial"/>
                <w:b/>
                <w:bCs/>
                <w:sz w:val="22"/>
                <w:szCs w:val="22"/>
              </w:rPr>
              <w:t xml:space="preserve">   202</w:t>
            </w:r>
            <w:r w:rsidR="004A346E" w:rsidRPr="00495094">
              <w:rPr>
                <w:rFonts w:ascii="Arial" w:hAnsi="Arial" w:cs="Arial"/>
                <w:b/>
                <w:bCs/>
                <w:sz w:val="22"/>
                <w:szCs w:val="22"/>
              </w:rPr>
              <w:t>1</w:t>
            </w:r>
          </w:p>
          <w:p w14:paraId="6E94CFF2" w14:textId="1025EC41" w:rsidR="00E83C84" w:rsidRPr="00495094" w:rsidRDefault="00E83C84" w:rsidP="00D72D61">
            <w:pPr>
              <w:ind w:right="-97"/>
              <w:jc w:val="center"/>
              <w:rPr>
                <w:rFonts w:ascii="Arial" w:hAnsi="Arial" w:cs="Arial"/>
                <w:bCs/>
                <w:sz w:val="22"/>
                <w:szCs w:val="22"/>
              </w:rPr>
            </w:pPr>
            <w:r w:rsidRPr="00495094">
              <w:rPr>
                <w:rFonts w:ascii="Arial" w:hAnsi="Arial" w:cs="Arial"/>
                <w:bCs/>
                <w:sz w:val="22"/>
                <w:szCs w:val="22"/>
              </w:rPr>
              <w:t>As restated</w:t>
            </w:r>
          </w:p>
        </w:tc>
      </w:tr>
      <w:tr w:rsidR="00495094" w:rsidRPr="00495094" w14:paraId="20EA0A5E" w14:textId="77777777" w:rsidTr="00E83C84">
        <w:trPr>
          <w:trHeight w:val="271"/>
        </w:trPr>
        <w:tc>
          <w:tcPr>
            <w:tcW w:w="4961" w:type="dxa"/>
            <w:tcBorders>
              <w:top w:val="nil"/>
              <w:left w:val="nil"/>
              <w:bottom w:val="nil"/>
              <w:right w:val="nil"/>
            </w:tcBorders>
            <w:shd w:val="clear" w:color="auto" w:fill="auto"/>
            <w:vAlign w:val="center"/>
          </w:tcPr>
          <w:p w14:paraId="20B13F82" w14:textId="6B4F01BD" w:rsidR="00AE6F98" w:rsidRPr="00495094" w:rsidRDefault="00AE6F98" w:rsidP="00AE6F98">
            <w:pPr>
              <w:jc w:val="left"/>
              <w:rPr>
                <w:rFonts w:ascii="Arial" w:hAnsi="Arial" w:cs="Arial"/>
                <w:sz w:val="22"/>
                <w:szCs w:val="22"/>
              </w:rPr>
            </w:pPr>
            <w:r w:rsidRPr="00495094">
              <w:rPr>
                <w:rFonts w:ascii="Arial" w:hAnsi="Arial" w:cs="Arial"/>
                <w:sz w:val="22"/>
                <w:szCs w:val="22"/>
              </w:rPr>
              <w:t>Accounts payable – others</w:t>
            </w:r>
          </w:p>
        </w:tc>
        <w:tc>
          <w:tcPr>
            <w:tcW w:w="1701" w:type="dxa"/>
            <w:tcBorders>
              <w:top w:val="nil"/>
              <w:left w:val="nil"/>
              <w:bottom w:val="nil"/>
              <w:right w:val="nil"/>
            </w:tcBorders>
            <w:shd w:val="clear" w:color="auto" w:fill="auto"/>
            <w:vAlign w:val="center"/>
          </w:tcPr>
          <w:p w14:paraId="4ADE1D3E" w14:textId="078BB999" w:rsidR="00AE6F98" w:rsidRPr="00495094" w:rsidRDefault="004A346E" w:rsidP="007B0342">
            <w:pPr>
              <w:jc w:val="right"/>
              <w:rPr>
                <w:rFonts w:ascii="Arial" w:hAnsi="Arial" w:cs="Arial"/>
                <w:sz w:val="22"/>
                <w:szCs w:val="22"/>
              </w:rPr>
            </w:pPr>
            <w:r w:rsidRPr="00495094">
              <w:rPr>
                <w:rFonts w:ascii="Arial" w:hAnsi="Arial" w:cs="Arial"/>
                <w:sz w:val="22"/>
                <w:szCs w:val="22"/>
              </w:rPr>
              <w:t>2</w:t>
            </w:r>
            <w:r w:rsidR="007B0342" w:rsidRPr="00495094">
              <w:rPr>
                <w:rFonts w:ascii="Arial" w:hAnsi="Arial" w:cs="Arial"/>
                <w:sz w:val="22"/>
                <w:szCs w:val="22"/>
              </w:rPr>
              <w:t>8</w:t>
            </w:r>
            <w:r w:rsidRPr="00495094">
              <w:rPr>
                <w:rFonts w:ascii="Arial" w:hAnsi="Arial" w:cs="Arial"/>
                <w:sz w:val="22"/>
                <w:szCs w:val="22"/>
              </w:rPr>
              <w:t>,</w:t>
            </w:r>
            <w:r w:rsidR="007B0342" w:rsidRPr="00495094">
              <w:rPr>
                <w:rFonts w:ascii="Arial" w:hAnsi="Arial" w:cs="Arial"/>
                <w:sz w:val="22"/>
                <w:szCs w:val="22"/>
              </w:rPr>
              <w:t>212</w:t>
            </w:r>
            <w:r w:rsidR="00FD1C98" w:rsidRPr="00495094">
              <w:rPr>
                <w:rFonts w:ascii="Arial" w:hAnsi="Arial" w:cs="Arial"/>
                <w:sz w:val="22"/>
                <w:szCs w:val="22"/>
              </w:rPr>
              <w:t>,</w:t>
            </w:r>
            <w:r w:rsidR="007B0342" w:rsidRPr="00495094">
              <w:rPr>
                <w:rFonts w:ascii="Arial" w:hAnsi="Arial" w:cs="Arial"/>
                <w:sz w:val="22"/>
                <w:szCs w:val="22"/>
              </w:rPr>
              <w:t>16</w:t>
            </w:r>
            <w:r w:rsidRPr="00495094">
              <w:rPr>
                <w:rFonts w:ascii="Arial" w:hAnsi="Arial" w:cs="Arial"/>
                <w:sz w:val="22"/>
                <w:szCs w:val="22"/>
              </w:rPr>
              <w:t>5</w:t>
            </w:r>
          </w:p>
        </w:tc>
        <w:tc>
          <w:tcPr>
            <w:tcW w:w="1559" w:type="dxa"/>
            <w:tcBorders>
              <w:top w:val="nil"/>
              <w:left w:val="nil"/>
              <w:bottom w:val="nil"/>
              <w:right w:val="nil"/>
            </w:tcBorders>
            <w:shd w:val="clear" w:color="auto" w:fill="auto"/>
            <w:vAlign w:val="center"/>
          </w:tcPr>
          <w:p w14:paraId="4614A425" w14:textId="31E21B74" w:rsidR="00AE6F98" w:rsidRPr="00495094" w:rsidRDefault="004A346E" w:rsidP="003315ED">
            <w:pPr>
              <w:ind w:right="47"/>
              <w:jc w:val="right"/>
              <w:rPr>
                <w:rFonts w:ascii="Arial" w:hAnsi="Arial" w:cs="Arial"/>
                <w:sz w:val="22"/>
                <w:szCs w:val="22"/>
              </w:rPr>
            </w:pPr>
            <w:r w:rsidRPr="00495094">
              <w:rPr>
                <w:rFonts w:ascii="Arial" w:hAnsi="Arial" w:cs="Arial"/>
                <w:sz w:val="22"/>
                <w:szCs w:val="22"/>
              </w:rPr>
              <w:t>16,6</w:t>
            </w:r>
            <w:r w:rsidR="00C43F3C" w:rsidRPr="00495094">
              <w:rPr>
                <w:rFonts w:ascii="Arial" w:hAnsi="Arial" w:cs="Arial"/>
                <w:sz w:val="22"/>
                <w:szCs w:val="22"/>
              </w:rPr>
              <w:t>49</w:t>
            </w:r>
            <w:r w:rsidRPr="00495094">
              <w:rPr>
                <w:rFonts w:ascii="Arial" w:hAnsi="Arial" w:cs="Arial"/>
                <w:sz w:val="22"/>
                <w:szCs w:val="22"/>
              </w:rPr>
              <w:t>,</w:t>
            </w:r>
            <w:r w:rsidR="00C43F3C" w:rsidRPr="00495094">
              <w:rPr>
                <w:rFonts w:ascii="Arial" w:hAnsi="Arial" w:cs="Arial"/>
                <w:sz w:val="22"/>
                <w:szCs w:val="22"/>
              </w:rPr>
              <w:t>779</w:t>
            </w:r>
          </w:p>
        </w:tc>
      </w:tr>
      <w:tr w:rsidR="00495094" w:rsidRPr="00495094" w14:paraId="2D86F067" w14:textId="77777777" w:rsidTr="00E83C84">
        <w:trPr>
          <w:trHeight w:val="271"/>
        </w:trPr>
        <w:tc>
          <w:tcPr>
            <w:tcW w:w="4961" w:type="dxa"/>
            <w:tcBorders>
              <w:top w:val="nil"/>
              <w:left w:val="nil"/>
              <w:bottom w:val="nil"/>
              <w:right w:val="nil"/>
            </w:tcBorders>
            <w:shd w:val="clear" w:color="auto" w:fill="auto"/>
            <w:vAlign w:val="center"/>
          </w:tcPr>
          <w:p w14:paraId="146429FC" w14:textId="77777777" w:rsidR="004339D1" w:rsidRPr="00495094" w:rsidRDefault="004339D1" w:rsidP="00F213A1">
            <w:pPr>
              <w:jc w:val="left"/>
              <w:rPr>
                <w:rFonts w:ascii="Arial" w:hAnsi="Arial" w:cs="Arial"/>
                <w:sz w:val="22"/>
                <w:szCs w:val="22"/>
              </w:rPr>
            </w:pPr>
            <w:r w:rsidRPr="00495094">
              <w:rPr>
                <w:rFonts w:ascii="Arial" w:hAnsi="Arial" w:cs="Arial"/>
                <w:sz w:val="22"/>
                <w:szCs w:val="22"/>
              </w:rPr>
              <w:t>Unclaimed balances</w:t>
            </w:r>
          </w:p>
        </w:tc>
        <w:tc>
          <w:tcPr>
            <w:tcW w:w="1701" w:type="dxa"/>
            <w:tcBorders>
              <w:top w:val="nil"/>
              <w:left w:val="nil"/>
              <w:bottom w:val="nil"/>
              <w:right w:val="nil"/>
            </w:tcBorders>
            <w:shd w:val="clear" w:color="auto" w:fill="auto"/>
            <w:vAlign w:val="center"/>
          </w:tcPr>
          <w:p w14:paraId="61AB6337" w14:textId="21981BD3" w:rsidR="004339D1" w:rsidRPr="00495094" w:rsidRDefault="004339D1" w:rsidP="00F213A1">
            <w:pPr>
              <w:jc w:val="right"/>
              <w:rPr>
                <w:rFonts w:ascii="Arial" w:hAnsi="Arial" w:cs="Arial"/>
                <w:sz w:val="22"/>
                <w:szCs w:val="22"/>
              </w:rPr>
            </w:pPr>
            <w:r w:rsidRPr="00495094">
              <w:rPr>
                <w:rFonts w:ascii="Arial" w:hAnsi="Arial" w:cs="Arial"/>
                <w:sz w:val="22"/>
                <w:szCs w:val="22"/>
              </w:rPr>
              <w:t>5,907,84</w:t>
            </w:r>
            <w:r w:rsidR="00DD2B47" w:rsidRPr="00495094">
              <w:rPr>
                <w:rFonts w:ascii="Arial" w:hAnsi="Arial" w:cs="Arial"/>
                <w:sz w:val="22"/>
                <w:szCs w:val="22"/>
              </w:rPr>
              <w:t>3</w:t>
            </w:r>
          </w:p>
        </w:tc>
        <w:tc>
          <w:tcPr>
            <w:tcW w:w="1559" w:type="dxa"/>
            <w:tcBorders>
              <w:top w:val="nil"/>
              <w:left w:val="nil"/>
              <w:bottom w:val="nil"/>
              <w:right w:val="nil"/>
            </w:tcBorders>
            <w:shd w:val="clear" w:color="auto" w:fill="auto"/>
            <w:vAlign w:val="center"/>
          </w:tcPr>
          <w:p w14:paraId="070A1771" w14:textId="77777777" w:rsidR="004339D1" w:rsidRPr="00495094" w:rsidRDefault="004339D1" w:rsidP="00F213A1">
            <w:pPr>
              <w:ind w:right="47"/>
              <w:jc w:val="right"/>
              <w:rPr>
                <w:rFonts w:ascii="Arial" w:hAnsi="Arial" w:cs="Arial"/>
                <w:sz w:val="22"/>
                <w:szCs w:val="22"/>
              </w:rPr>
            </w:pPr>
            <w:r w:rsidRPr="00495094">
              <w:rPr>
                <w:rFonts w:ascii="Arial" w:hAnsi="Arial" w:cs="Arial"/>
                <w:sz w:val="22"/>
                <w:szCs w:val="22"/>
              </w:rPr>
              <w:t>2,191,140</w:t>
            </w:r>
          </w:p>
        </w:tc>
      </w:tr>
      <w:tr w:rsidR="00495094" w:rsidRPr="00495094" w14:paraId="5843E7DF" w14:textId="77777777" w:rsidTr="00E83C84">
        <w:trPr>
          <w:trHeight w:val="253"/>
        </w:trPr>
        <w:tc>
          <w:tcPr>
            <w:tcW w:w="4961" w:type="dxa"/>
            <w:tcBorders>
              <w:top w:val="nil"/>
              <w:left w:val="nil"/>
              <w:bottom w:val="nil"/>
              <w:right w:val="nil"/>
            </w:tcBorders>
            <w:shd w:val="clear" w:color="auto" w:fill="auto"/>
            <w:vAlign w:val="center"/>
          </w:tcPr>
          <w:p w14:paraId="66DC3444" w14:textId="6C3BB612" w:rsidR="00B87DB2" w:rsidRPr="00495094" w:rsidRDefault="00B87DB2" w:rsidP="00B87DB2">
            <w:pPr>
              <w:jc w:val="left"/>
              <w:rPr>
                <w:rFonts w:ascii="Arial" w:hAnsi="Arial" w:cs="Arial"/>
                <w:sz w:val="22"/>
                <w:szCs w:val="22"/>
              </w:rPr>
            </w:pPr>
            <w:r w:rsidRPr="00495094">
              <w:rPr>
                <w:rFonts w:ascii="Arial" w:hAnsi="Arial" w:cs="Arial"/>
                <w:sz w:val="22"/>
                <w:szCs w:val="22"/>
              </w:rPr>
              <w:lastRenderedPageBreak/>
              <w:t>Due to the Treasurer of the Phil.</w:t>
            </w:r>
          </w:p>
        </w:tc>
        <w:tc>
          <w:tcPr>
            <w:tcW w:w="1701" w:type="dxa"/>
            <w:tcBorders>
              <w:top w:val="nil"/>
              <w:left w:val="nil"/>
              <w:bottom w:val="nil"/>
              <w:right w:val="nil"/>
            </w:tcBorders>
            <w:shd w:val="clear" w:color="auto" w:fill="auto"/>
            <w:vAlign w:val="center"/>
          </w:tcPr>
          <w:p w14:paraId="28CDF211" w14:textId="49C4D1CA" w:rsidR="00B87DB2" w:rsidRPr="00495094" w:rsidRDefault="00B87DB2" w:rsidP="00B87DB2">
            <w:pPr>
              <w:jc w:val="right"/>
              <w:rPr>
                <w:rFonts w:ascii="Arial" w:hAnsi="Arial" w:cs="Arial"/>
                <w:sz w:val="22"/>
                <w:szCs w:val="22"/>
              </w:rPr>
            </w:pPr>
            <w:r w:rsidRPr="00495094">
              <w:rPr>
                <w:rFonts w:ascii="Arial" w:hAnsi="Arial" w:cs="Arial"/>
                <w:sz w:val="22"/>
                <w:szCs w:val="22"/>
              </w:rPr>
              <w:t>3,083,920</w:t>
            </w:r>
          </w:p>
        </w:tc>
        <w:tc>
          <w:tcPr>
            <w:tcW w:w="1559" w:type="dxa"/>
            <w:tcBorders>
              <w:top w:val="nil"/>
              <w:left w:val="nil"/>
              <w:bottom w:val="nil"/>
              <w:right w:val="nil"/>
            </w:tcBorders>
            <w:shd w:val="clear" w:color="auto" w:fill="auto"/>
            <w:vAlign w:val="center"/>
          </w:tcPr>
          <w:p w14:paraId="7FCC3616" w14:textId="0B2C4732" w:rsidR="00B87DB2" w:rsidRPr="00495094" w:rsidRDefault="004A346E" w:rsidP="003315ED">
            <w:pPr>
              <w:ind w:right="47"/>
              <w:jc w:val="right"/>
              <w:rPr>
                <w:rFonts w:ascii="Arial" w:hAnsi="Arial" w:cs="Arial"/>
                <w:sz w:val="22"/>
                <w:szCs w:val="22"/>
              </w:rPr>
            </w:pPr>
            <w:r w:rsidRPr="00495094">
              <w:rPr>
                <w:rFonts w:ascii="Arial" w:hAnsi="Arial" w:cs="Arial"/>
                <w:sz w:val="22"/>
                <w:szCs w:val="22"/>
              </w:rPr>
              <w:t>3,083,920</w:t>
            </w:r>
          </w:p>
        </w:tc>
      </w:tr>
      <w:tr w:rsidR="00495094" w:rsidRPr="00495094" w14:paraId="1A70B4F4" w14:textId="77777777" w:rsidTr="00E83C84">
        <w:trPr>
          <w:trHeight w:val="271"/>
        </w:trPr>
        <w:tc>
          <w:tcPr>
            <w:tcW w:w="4961" w:type="dxa"/>
            <w:tcBorders>
              <w:top w:val="nil"/>
              <w:left w:val="nil"/>
              <w:bottom w:val="nil"/>
              <w:right w:val="nil"/>
            </w:tcBorders>
            <w:shd w:val="clear" w:color="auto" w:fill="auto"/>
            <w:vAlign w:val="center"/>
          </w:tcPr>
          <w:p w14:paraId="5FE2C091"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Withholding tax payable</w:t>
            </w:r>
          </w:p>
        </w:tc>
        <w:tc>
          <w:tcPr>
            <w:tcW w:w="1701" w:type="dxa"/>
            <w:tcBorders>
              <w:top w:val="nil"/>
              <w:left w:val="nil"/>
              <w:bottom w:val="nil"/>
              <w:right w:val="nil"/>
            </w:tcBorders>
            <w:shd w:val="clear" w:color="auto" w:fill="auto"/>
            <w:vAlign w:val="center"/>
          </w:tcPr>
          <w:p w14:paraId="19025438" w14:textId="305AC021" w:rsidR="00B87DB2" w:rsidRPr="00495094" w:rsidRDefault="00B87DB2" w:rsidP="004A346E">
            <w:pPr>
              <w:jc w:val="right"/>
              <w:rPr>
                <w:rFonts w:ascii="Arial" w:hAnsi="Arial" w:cs="Arial"/>
                <w:sz w:val="22"/>
                <w:szCs w:val="22"/>
              </w:rPr>
            </w:pPr>
            <w:r w:rsidRPr="00495094">
              <w:rPr>
                <w:rFonts w:ascii="Arial" w:hAnsi="Arial" w:cs="Arial"/>
                <w:sz w:val="22"/>
                <w:szCs w:val="22"/>
              </w:rPr>
              <w:t>1</w:t>
            </w:r>
            <w:r w:rsidR="004A346E" w:rsidRPr="00495094">
              <w:rPr>
                <w:rFonts w:ascii="Arial" w:hAnsi="Arial" w:cs="Arial"/>
                <w:sz w:val="22"/>
                <w:szCs w:val="22"/>
              </w:rPr>
              <w:t>65,462</w:t>
            </w:r>
          </w:p>
        </w:tc>
        <w:tc>
          <w:tcPr>
            <w:tcW w:w="1559" w:type="dxa"/>
            <w:tcBorders>
              <w:top w:val="nil"/>
              <w:left w:val="nil"/>
              <w:bottom w:val="nil"/>
              <w:right w:val="nil"/>
            </w:tcBorders>
            <w:shd w:val="clear" w:color="auto" w:fill="auto"/>
            <w:vAlign w:val="center"/>
          </w:tcPr>
          <w:p w14:paraId="09659E25" w14:textId="56C4F896" w:rsidR="00B87DB2" w:rsidRPr="00495094" w:rsidRDefault="00B87DB2" w:rsidP="003315ED">
            <w:pPr>
              <w:ind w:right="47"/>
              <w:jc w:val="right"/>
              <w:rPr>
                <w:rFonts w:ascii="Arial" w:hAnsi="Arial" w:cs="Arial"/>
                <w:sz w:val="22"/>
                <w:szCs w:val="22"/>
              </w:rPr>
            </w:pPr>
            <w:r w:rsidRPr="00495094">
              <w:rPr>
                <w:rFonts w:ascii="Arial" w:hAnsi="Arial" w:cs="Arial"/>
                <w:sz w:val="22"/>
                <w:szCs w:val="22"/>
              </w:rPr>
              <w:t>1</w:t>
            </w:r>
            <w:r w:rsidR="004A346E" w:rsidRPr="00495094">
              <w:rPr>
                <w:rFonts w:ascii="Arial" w:hAnsi="Arial" w:cs="Arial"/>
                <w:sz w:val="22"/>
                <w:szCs w:val="22"/>
              </w:rPr>
              <w:t>39,600</w:t>
            </w:r>
          </w:p>
        </w:tc>
      </w:tr>
      <w:tr w:rsidR="00495094" w:rsidRPr="00495094" w14:paraId="2DFC6864" w14:textId="77777777" w:rsidTr="00E83C84">
        <w:trPr>
          <w:trHeight w:val="271"/>
        </w:trPr>
        <w:tc>
          <w:tcPr>
            <w:tcW w:w="4961" w:type="dxa"/>
            <w:tcBorders>
              <w:top w:val="nil"/>
              <w:left w:val="nil"/>
              <w:bottom w:val="nil"/>
              <w:right w:val="nil"/>
            </w:tcBorders>
            <w:shd w:val="clear" w:color="auto" w:fill="auto"/>
            <w:vAlign w:val="center"/>
          </w:tcPr>
          <w:p w14:paraId="70DAC15D"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SSS, PHIC, Employee Compensation and</w:t>
            </w:r>
          </w:p>
        </w:tc>
        <w:tc>
          <w:tcPr>
            <w:tcW w:w="1701" w:type="dxa"/>
            <w:tcBorders>
              <w:top w:val="nil"/>
              <w:left w:val="nil"/>
              <w:bottom w:val="nil"/>
              <w:right w:val="nil"/>
            </w:tcBorders>
            <w:shd w:val="clear" w:color="auto" w:fill="auto"/>
            <w:vAlign w:val="center"/>
          </w:tcPr>
          <w:p w14:paraId="13390CFE" w14:textId="77777777" w:rsidR="00B87DB2" w:rsidRPr="00495094" w:rsidRDefault="00B87DB2" w:rsidP="00B87DB2">
            <w:pPr>
              <w:rPr>
                <w:rFonts w:ascii="Arial" w:hAnsi="Arial" w:cs="Arial"/>
                <w:sz w:val="22"/>
                <w:szCs w:val="22"/>
              </w:rPr>
            </w:pPr>
          </w:p>
        </w:tc>
        <w:tc>
          <w:tcPr>
            <w:tcW w:w="1559" w:type="dxa"/>
            <w:tcBorders>
              <w:top w:val="nil"/>
              <w:left w:val="nil"/>
              <w:bottom w:val="nil"/>
              <w:right w:val="nil"/>
            </w:tcBorders>
            <w:shd w:val="clear" w:color="auto" w:fill="auto"/>
            <w:vAlign w:val="center"/>
          </w:tcPr>
          <w:p w14:paraId="0EB417A9" w14:textId="5B12CCFF" w:rsidR="00B87DB2" w:rsidRPr="00495094" w:rsidRDefault="00B87DB2" w:rsidP="003315ED">
            <w:pPr>
              <w:ind w:right="47"/>
              <w:jc w:val="right"/>
              <w:rPr>
                <w:rFonts w:ascii="Arial" w:hAnsi="Arial" w:cs="Arial"/>
                <w:sz w:val="22"/>
                <w:szCs w:val="22"/>
              </w:rPr>
            </w:pPr>
          </w:p>
        </w:tc>
      </w:tr>
      <w:tr w:rsidR="00495094" w:rsidRPr="00495094" w14:paraId="0ACA1FDD" w14:textId="77777777" w:rsidTr="00E83C84">
        <w:trPr>
          <w:trHeight w:val="253"/>
        </w:trPr>
        <w:tc>
          <w:tcPr>
            <w:tcW w:w="4961" w:type="dxa"/>
            <w:tcBorders>
              <w:top w:val="nil"/>
              <w:left w:val="nil"/>
              <w:bottom w:val="nil"/>
              <w:right w:val="nil"/>
            </w:tcBorders>
            <w:shd w:val="clear" w:color="auto" w:fill="auto"/>
            <w:vAlign w:val="center"/>
          </w:tcPr>
          <w:p w14:paraId="473D8E6F"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 xml:space="preserve">          Pag-ibig Fund Payable</w:t>
            </w:r>
          </w:p>
        </w:tc>
        <w:tc>
          <w:tcPr>
            <w:tcW w:w="1701" w:type="dxa"/>
            <w:tcBorders>
              <w:top w:val="nil"/>
              <w:left w:val="nil"/>
              <w:bottom w:val="nil"/>
              <w:right w:val="nil"/>
            </w:tcBorders>
            <w:shd w:val="clear" w:color="auto" w:fill="auto"/>
            <w:vAlign w:val="center"/>
          </w:tcPr>
          <w:p w14:paraId="1F8E0474" w14:textId="583A6131" w:rsidR="00B87DB2" w:rsidRPr="00495094" w:rsidRDefault="004A346E" w:rsidP="00B87DB2">
            <w:pPr>
              <w:jc w:val="right"/>
              <w:rPr>
                <w:rFonts w:ascii="Arial" w:hAnsi="Arial" w:cs="Arial"/>
                <w:sz w:val="22"/>
                <w:szCs w:val="22"/>
              </w:rPr>
            </w:pPr>
            <w:r w:rsidRPr="00495094">
              <w:rPr>
                <w:rFonts w:ascii="Arial" w:hAnsi="Arial" w:cs="Arial"/>
                <w:sz w:val="22"/>
                <w:szCs w:val="22"/>
              </w:rPr>
              <w:t>100,750</w:t>
            </w:r>
          </w:p>
        </w:tc>
        <w:tc>
          <w:tcPr>
            <w:tcW w:w="1559" w:type="dxa"/>
            <w:tcBorders>
              <w:top w:val="nil"/>
              <w:left w:val="nil"/>
              <w:bottom w:val="nil"/>
              <w:right w:val="nil"/>
            </w:tcBorders>
            <w:shd w:val="clear" w:color="auto" w:fill="auto"/>
            <w:vAlign w:val="center"/>
          </w:tcPr>
          <w:p w14:paraId="264D9E99" w14:textId="2B3571F7" w:rsidR="00B87DB2" w:rsidRPr="00495094" w:rsidRDefault="004A346E" w:rsidP="003315ED">
            <w:pPr>
              <w:ind w:right="47"/>
              <w:jc w:val="right"/>
              <w:rPr>
                <w:rFonts w:ascii="Arial" w:hAnsi="Arial" w:cs="Arial"/>
                <w:sz w:val="22"/>
                <w:szCs w:val="22"/>
              </w:rPr>
            </w:pPr>
            <w:r w:rsidRPr="00495094">
              <w:rPr>
                <w:rFonts w:ascii="Arial" w:hAnsi="Arial" w:cs="Arial"/>
                <w:sz w:val="22"/>
                <w:szCs w:val="22"/>
              </w:rPr>
              <w:t>6</w:t>
            </w:r>
            <w:r w:rsidR="00B87DB2" w:rsidRPr="00495094">
              <w:rPr>
                <w:rFonts w:ascii="Arial" w:hAnsi="Arial" w:cs="Arial"/>
                <w:sz w:val="22"/>
                <w:szCs w:val="22"/>
              </w:rPr>
              <w:t>2,9</w:t>
            </w:r>
            <w:r w:rsidRPr="00495094">
              <w:rPr>
                <w:rFonts w:ascii="Arial" w:hAnsi="Arial" w:cs="Arial"/>
                <w:sz w:val="22"/>
                <w:szCs w:val="22"/>
              </w:rPr>
              <w:t>50</w:t>
            </w:r>
          </w:p>
        </w:tc>
      </w:tr>
      <w:tr w:rsidR="00495094" w:rsidRPr="00495094" w14:paraId="27B3B23B" w14:textId="77777777" w:rsidTr="00E83C84">
        <w:trPr>
          <w:trHeight w:val="271"/>
        </w:trPr>
        <w:tc>
          <w:tcPr>
            <w:tcW w:w="4961" w:type="dxa"/>
            <w:tcBorders>
              <w:top w:val="nil"/>
              <w:left w:val="nil"/>
              <w:bottom w:val="nil"/>
              <w:right w:val="nil"/>
            </w:tcBorders>
            <w:shd w:val="clear" w:color="auto" w:fill="auto"/>
            <w:vAlign w:val="center"/>
          </w:tcPr>
          <w:p w14:paraId="317BCA41" w14:textId="169754B5" w:rsidR="00B87DB2" w:rsidRPr="00495094" w:rsidRDefault="00B87DB2" w:rsidP="00B87DB2">
            <w:pPr>
              <w:jc w:val="left"/>
              <w:rPr>
                <w:rFonts w:ascii="Arial" w:hAnsi="Arial" w:cs="Arial"/>
                <w:sz w:val="22"/>
                <w:szCs w:val="22"/>
              </w:rPr>
            </w:pPr>
            <w:r w:rsidRPr="00495094">
              <w:rPr>
                <w:rFonts w:ascii="Arial" w:hAnsi="Arial" w:cs="Arial"/>
                <w:sz w:val="22"/>
                <w:szCs w:val="22"/>
              </w:rPr>
              <w:t>Sundry credits</w:t>
            </w:r>
          </w:p>
        </w:tc>
        <w:tc>
          <w:tcPr>
            <w:tcW w:w="1701" w:type="dxa"/>
            <w:tcBorders>
              <w:top w:val="nil"/>
              <w:left w:val="nil"/>
              <w:bottom w:val="nil"/>
              <w:right w:val="nil"/>
            </w:tcBorders>
            <w:shd w:val="clear" w:color="auto" w:fill="auto"/>
            <w:vAlign w:val="center"/>
          </w:tcPr>
          <w:p w14:paraId="750AED9C" w14:textId="7A70A612" w:rsidR="00B87DB2" w:rsidRPr="00495094" w:rsidRDefault="00B87DB2" w:rsidP="00E83C84">
            <w:pPr>
              <w:jc w:val="right"/>
              <w:rPr>
                <w:rFonts w:ascii="Arial" w:hAnsi="Arial" w:cs="Arial"/>
                <w:sz w:val="22"/>
                <w:szCs w:val="22"/>
              </w:rPr>
            </w:pPr>
            <w:r w:rsidRPr="00495094">
              <w:rPr>
                <w:rFonts w:ascii="Arial" w:hAnsi="Arial" w:cs="Arial"/>
                <w:sz w:val="22"/>
                <w:szCs w:val="22"/>
              </w:rPr>
              <w:t>3</w:t>
            </w:r>
            <w:r w:rsidR="004A346E" w:rsidRPr="00495094">
              <w:rPr>
                <w:rFonts w:ascii="Arial" w:hAnsi="Arial" w:cs="Arial"/>
                <w:sz w:val="22"/>
                <w:szCs w:val="22"/>
              </w:rPr>
              <w:t>4,241,44</w:t>
            </w:r>
            <w:r w:rsidR="00E83C84" w:rsidRPr="00495094">
              <w:rPr>
                <w:rFonts w:ascii="Arial" w:hAnsi="Arial" w:cs="Arial"/>
                <w:sz w:val="22"/>
                <w:szCs w:val="22"/>
              </w:rPr>
              <w:t>5</w:t>
            </w:r>
          </w:p>
        </w:tc>
        <w:tc>
          <w:tcPr>
            <w:tcW w:w="1559" w:type="dxa"/>
            <w:tcBorders>
              <w:top w:val="nil"/>
              <w:left w:val="nil"/>
              <w:bottom w:val="nil"/>
              <w:right w:val="nil"/>
            </w:tcBorders>
            <w:shd w:val="clear" w:color="auto" w:fill="auto"/>
            <w:vAlign w:val="center"/>
          </w:tcPr>
          <w:p w14:paraId="3F4A7D3F" w14:textId="3D4A83AF" w:rsidR="00B87DB2" w:rsidRPr="00495094" w:rsidRDefault="004A346E" w:rsidP="003315ED">
            <w:pPr>
              <w:ind w:right="47"/>
              <w:jc w:val="right"/>
              <w:rPr>
                <w:rFonts w:ascii="Arial" w:hAnsi="Arial" w:cs="Arial"/>
                <w:sz w:val="22"/>
                <w:szCs w:val="22"/>
              </w:rPr>
            </w:pPr>
            <w:r w:rsidRPr="00495094">
              <w:rPr>
                <w:rFonts w:ascii="Arial" w:hAnsi="Arial" w:cs="Arial"/>
                <w:sz w:val="22"/>
                <w:szCs w:val="22"/>
              </w:rPr>
              <w:t>32,715,762</w:t>
            </w:r>
          </w:p>
        </w:tc>
      </w:tr>
      <w:tr w:rsidR="00495094" w:rsidRPr="00495094" w14:paraId="0CC75860" w14:textId="77777777" w:rsidTr="00E83C84">
        <w:trPr>
          <w:trHeight w:val="271"/>
        </w:trPr>
        <w:tc>
          <w:tcPr>
            <w:tcW w:w="4961" w:type="dxa"/>
            <w:tcBorders>
              <w:top w:val="nil"/>
              <w:left w:val="nil"/>
              <w:bottom w:val="single" w:sz="4" w:space="0" w:color="auto"/>
              <w:right w:val="nil"/>
            </w:tcBorders>
            <w:shd w:val="clear" w:color="auto" w:fill="auto"/>
            <w:vAlign w:val="center"/>
          </w:tcPr>
          <w:p w14:paraId="5EF5DC0E"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Miscellaneous liabilities</w:t>
            </w:r>
          </w:p>
        </w:tc>
        <w:tc>
          <w:tcPr>
            <w:tcW w:w="1701" w:type="dxa"/>
            <w:tcBorders>
              <w:top w:val="nil"/>
              <w:left w:val="nil"/>
              <w:bottom w:val="single" w:sz="4" w:space="0" w:color="auto"/>
              <w:right w:val="nil"/>
            </w:tcBorders>
            <w:shd w:val="clear" w:color="auto" w:fill="auto"/>
            <w:vAlign w:val="center"/>
          </w:tcPr>
          <w:p w14:paraId="1907F076" w14:textId="1BF10612" w:rsidR="00B87DB2" w:rsidRPr="00495094" w:rsidRDefault="00B87DB2" w:rsidP="00B87DB2">
            <w:pPr>
              <w:jc w:val="right"/>
              <w:rPr>
                <w:rFonts w:ascii="Arial" w:hAnsi="Arial" w:cs="Arial"/>
                <w:sz w:val="22"/>
                <w:szCs w:val="22"/>
              </w:rPr>
            </w:pPr>
            <w:r w:rsidRPr="00495094">
              <w:rPr>
                <w:rFonts w:ascii="Arial" w:hAnsi="Arial" w:cs="Arial"/>
                <w:sz w:val="22"/>
                <w:szCs w:val="22"/>
              </w:rPr>
              <w:t>101,499</w:t>
            </w:r>
          </w:p>
        </w:tc>
        <w:tc>
          <w:tcPr>
            <w:tcW w:w="1559" w:type="dxa"/>
            <w:tcBorders>
              <w:top w:val="nil"/>
              <w:left w:val="nil"/>
              <w:bottom w:val="single" w:sz="4" w:space="0" w:color="auto"/>
              <w:right w:val="nil"/>
            </w:tcBorders>
            <w:shd w:val="clear" w:color="auto" w:fill="auto"/>
            <w:vAlign w:val="center"/>
          </w:tcPr>
          <w:p w14:paraId="60A09D81" w14:textId="52A162B7" w:rsidR="00B87DB2" w:rsidRPr="00495094" w:rsidRDefault="00B87DB2" w:rsidP="003315ED">
            <w:pPr>
              <w:ind w:right="47"/>
              <w:jc w:val="right"/>
              <w:rPr>
                <w:rFonts w:ascii="Arial" w:hAnsi="Arial" w:cs="Arial"/>
                <w:sz w:val="22"/>
                <w:szCs w:val="22"/>
              </w:rPr>
            </w:pPr>
            <w:r w:rsidRPr="00495094">
              <w:rPr>
                <w:rFonts w:ascii="Arial" w:hAnsi="Arial" w:cs="Arial"/>
                <w:sz w:val="22"/>
                <w:szCs w:val="22"/>
              </w:rPr>
              <w:t>101,499</w:t>
            </w:r>
          </w:p>
        </w:tc>
      </w:tr>
      <w:tr w:rsidR="00495094" w:rsidRPr="00495094" w14:paraId="30D10189" w14:textId="77777777" w:rsidTr="00E83C84">
        <w:trPr>
          <w:trHeight w:val="253"/>
        </w:trPr>
        <w:tc>
          <w:tcPr>
            <w:tcW w:w="4961" w:type="dxa"/>
            <w:tcBorders>
              <w:top w:val="nil"/>
              <w:left w:val="nil"/>
              <w:bottom w:val="double" w:sz="6" w:space="0" w:color="auto"/>
              <w:right w:val="nil"/>
            </w:tcBorders>
            <w:shd w:val="clear" w:color="auto" w:fill="auto"/>
            <w:vAlign w:val="center"/>
          </w:tcPr>
          <w:p w14:paraId="56960DAD" w14:textId="77777777" w:rsidR="00B87DB2" w:rsidRPr="00495094" w:rsidRDefault="00B87DB2" w:rsidP="00B87DB2">
            <w:pPr>
              <w:rPr>
                <w:rFonts w:ascii="Arial" w:hAnsi="Arial" w:cs="Arial"/>
                <w:sz w:val="22"/>
                <w:szCs w:val="22"/>
              </w:rPr>
            </w:pPr>
            <w:r w:rsidRPr="00495094">
              <w:rPr>
                <w:rFonts w:ascii="Arial" w:hAnsi="Arial" w:cs="Arial"/>
                <w:sz w:val="22"/>
                <w:szCs w:val="22"/>
              </w:rPr>
              <w:t> </w:t>
            </w:r>
          </w:p>
        </w:tc>
        <w:tc>
          <w:tcPr>
            <w:tcW w:w="1701" w:type="dxa"/>
            <w:tcBorders>
              <w:top w:val="nil"/>
              <w:left w:val="nil"/>
              <w:bottom w:val="double" w:sz="6" w:space="0" w:color="auto"/>
              <w:right w:val="nil"/>
            </w:tcBorders>
            <w:shd w:val="clear" w:color="auto" w:fill="auto"/>
            <w:vAlign w:val="center"/>
          </w:tcPr>
          <w:p w14:paraId="55978588" w14:textId="082C4AE0" w:rsidR="00B87DB2" w:rsidRPr="00495094" w:rsidRDefault="004A346E" w:rsidP="007B0342">
            <w:pPr>
              <w:jc w:val="right"/>
              <w:rPr>
                <w:rFonts w:ascii="Arial" w:hAnsi="Arial" w:cs="Arial"/>
                <w:bCs/>
                <w:sz w:val="22"/>
                <w:szCs w:val="22"/>
              </w:rPr>
            </w:pPr>
            <w:r w:rsidRPr="00495094">
              <w:rPr>
                <w:rFonts w:ascii="Arial" w:hAnsi="Arial" w:cs="Arial"/>
                <w:bCs/>
                <w:sz w:val="22"/>
                <w:szCs w:val="22"/>
              </w:rPr>
              <w:t>71</w:t>
            </w:r>
            <w:r w:rsidR="00B87DB2" w:rsidRPr="00495094">
              <w:rPr>
                <w:rFonts w:ascii="Arial" w:hAnsi="Arial" w:cs="Arial"/>
                <w:bCs/>
                <w:sz w:val="22"/>
                <w:szCs w:val="22"/>
              </w:rPr>
              <w:t>,</w:t>
            </w:r>
            <w:r w:rsidR="007B0342" w:rsidRPr="00495094">
              <w:rPr>
                <w:rFonts w:ascii="Arial" w:hAnsi="Arial" w:cs="Arial"/>
                <w:bCs/>
                <w:sz w:val="22"/>
                <w:szCs w:val="22"/>
              </w:rPr>
              <w:t>813</w:t>
            </w:r>
            <w:r w:rsidR="00B87DB2" w:rsidRPr="00495094">
              <w:rPr>
                <w:rFonts w:ascii="Arial" w:hAnsi="Arial" w:cs="Arial"/>
                <w:bCs/>
                <w:sz w:val="22"/>
                <w:szCs w:val="22"/>
              </w:rPr>
              <w:t>,</w:t>
            </w:r>
            <w:r w:rsidR="007B0342" w:rsidRPr="00495094">
              <w:rPr>
                <w:rFonts w:ascii="Arial" w:hAnsi="Arial" w:cs="Arial"/>
                <w:bCs/>
                <w:sz w:val="22"/>
                <w:szCs w:val="22"/>
              </w:rPr>
              <w:t>08</w:t>
            </w:r>
            <w:r w:rsidR="00DD2B47" w:rsidRPr="00495094">
              <w:rPr>
                <w:rFonts w:ascii="Arial" w:hAnsi="Arial" w:cs="Arial"/>
                <w:bCs/>
                <w:sz w:val="22"/>
                <w:szCs w:val="22"/>
              </w:rPr>
              <w:t>4</w:t>
            </w:r>
          </w:p>
        </w:tc>
        <w:tc>
          <w:tcPr>
            <w:tcW w:w="1559" w:type="dxa"/>
            <w:tcBorders>
              <w:top w:val="nil"/>
              <w:left w:val="nil"/>
              <w:bottom w:val="double" w:sz="6" w:space="0" w:color="auto"/>
              <w:right w:val="nil"/>
            </w:tcBorders>
            <w:shd w:val="clear" w:color="auto" w:fill="auto"/>
            <w:vAlign w:val="center"/>
          </w:tcPr>
          <w:p w14:paraId="30EA8A86" w14:textId="6AFA7389" w:rsidR="00B87DB2" w:rsidRPr="00495094" w:rsidRDefault="00B87DB2" w:rsidP="003315ED">
            <w:pPr>
              <w:ind w:right="47"/>
              <w:jc w:val="right"/>
              <w:rPr>
                <w:rFonts w:ascii="Arial" w:hAnsi="Arial" w:cs="Arial"/>
                <w:bCs/>
                <w:sz w:val="22"/>
                <w:szCs w:val="22"/>
              </w:rPr>
            </w:pPr>
            <w:r w:rsidRPr="00495094">
              <w:rPr>
                <w:rFonts w:ascii="Arial" w:hAnsi="Arial" w:cs="Arial"/>
                <w:bCs/>
                <w:sz w:val="22"/>
                <w:szCs w:val="22"/>
              </w:rPr>
              <w:t>5</w:t>
            </w:r>
            <w:r w:rsidR="004A346E" w:rsidRPr="00495094">
              <w:rPr>
                <w:rFonts w:ascii="Arial" w:hAnsi="Arial" w:cs="Arial"/>
                <w:bCs/>
                <w:sz w:val="22"/>
                <w:szCs w:val="22"/>
              </w:rPr>
              <w:t>4</w:t>
            </w:r>
            <w:r w:rsidRPr="00495094">
              <w:rPr>
                <w:rFonts w:ascii="Arial" w:hAnsi="Arial" w:cs="Arial"/>
                <w:bCs/>
                <w:sz w:val="22"/>
                <w:szCs w:val="22"/>
              </w:rPr>
              <w:t>,</w:t>
            </w:r>
            <w:r w:rsidR="00C43F3C" w:rsidRPr="00495094">
              <w:rPr>
                <w:rFonts w:ascii="Arial" w:hAnsi="Arial" w:cs="Arial"/>
                <w:bCs/>
                <w:sz w:val="22"/>
                <w:szCs w:val="22"/>
              </w:rPr>
              <w:t>944</w:t>
            </w:r>
            <w:r w:rsidRPr="00495094">
              <w:rPr>
                <w:rFonts w:ascii="Arial" w:hAnsi="Arial" w:cs="Arial"/>
                <w:bCs/>
                <w:sz w:val="22"/>
                <w:szCs w:val="22"/>
              </w:rPr>
              <w:t>,</w:t>
            </w:r>
            <w:r w:rsidR="00C43F3C" w:rsidRPr="00495094">
              <w:rPr>
                <w:rFonts w:ascii="Arial" w:hAnsi="Arial" w:cs="Arial"/>
                <w:bCs/>
                <w:sz w:val="22"/>
                <w:szCs w:val="22"/>
              </w:rPr>
              <w:t>65</w:t>
            </w:r>
            <w:r w:rsidR="004A346E" w:rsidRPr="00495094">
              <w:rPr>
                <w:rFonts w:ascii="Arial" w:hAnsi="Arial" w:cs="Arial"/>
                <w:bCs/>
                <w:sz w:val="22"/>
                <w:szCs w:val="22"/>
              </w:rPr>
              <w:t>0</w:t>
            </w:r>
          </w:p>
        </w:tc>
      </w:tr>
    </w:tbl>
    <w:p w14:paraId="5D34A9DA" w14:textId="77777777" w:rsidR="006D37E3" w:rsidRPr="00495094" w:rsidRDefault="006D37E3" w:rsidP="008D0E35">
      <w:pPr>
        <w:rPr>
          <w:rFonts w:ascii="Arial" w:hAnsi="Arial" w:cs="Arial"/>
          <w:b/>
          <w:bCs/>
          <w:sz w:val="22"/>
          <w:szCs w:val="22"/>
        </w:rPr>
      </w:pPr>
    </w:p>
    <w:p w14:paraId="652ACDA4" w14:textId="5F8C563E" w:rsidR="00997239" w:rsidRPr="00495094" w:rsidRDefault="00420B7C" w:rsidP="008D0E35">
      <w:pPr>
        <w:rPr>
          <w:rFonts w:ascii="Arial" w:hAnsi="Arial" w:cs="Arial"/>
          <w:sz w:val="22"/>
          <w:szCs w:val="22"/>
        </w:rPr>
      </w:pPr>
      <w:r w:rsidRPr="00495094">
        <w:rPr>
          <w:rFonts w:ascii="Arial" w:hAnsi="Arial" w:cs="Arial"/>
          <w:sz w:val="22"/>
          <w:szCs w:val="22"/>
        </w:rPr>
        <w:t xml:space="preserve">The Accounts Payable – others account </w:t>
      </w:r>
      <w:r w:rsidR="00FD1C98" w:rsidRPr="00495094">
        <w:rPr>
          <w:rFonts w:ascii="Arial" w:hAnsi="Arial" w:cs="Arial"/>
          <w:sz w:val="22"/>
          <w:szCs w:val="22"/>
        </w:rPr>
        <w:t xml:space="preserve">is composed of </w:t>
      </w:r>
      <w:r w:rsidRPr="00495094">
        <w:rPr>
          <w:rFonts w:ascii="Arial" w:hAnsi="Arial" w:cs="Arial"/>
          <w:sz w:val="22"/>
          <w:szCs w:val="22"/>
        </w:rPr>
        <w:t>unpaid obligation to LBP, overpayment on loans pending refund, loans payment pending posting, delivered items of supplies and equipment not yet paid</w:t>
      </w:r>
      <w:r w:rsidR="00FD1C98" w:rsidRPr="00495094">
        <w:rPr>
          <w:rFonts w:ascii="Arial" w:hAnsi="Arial" w:cs="Arial"/>
          <w:sz w:val="22"/>
          <w:szCs w:val="22"/>
        </w:rPr>
        <w:t>, obligations deducted from employees last salary</w:t>
      </w:r>
      <w:r w:rsidRPr="00495094">
        <w:rPr>
          <w:rFonts w:ascii="Arial" w:hAnsi="Arial" w:cs="Arial"/>
          <w:sz w:val="22"/>
          <w:szCs w:val="22"/>
        </w:rPr>
        <w:t xml:space="preserve"> and others.</w:t>
      </w:r>
    </w:p>
    <w:p w14:paraId="3C6B7BF6" w14:textId="77777777" w:rsidR="008F3474" w:rsidRPr="00495094" w:rsidRDefault="008F3474" w:rsidP="00415836">
      <w:pPr>
        <w:pStyle w:val="BodyTextIndent2"/>
        <w:ind w:left="0"/>
        <w:rPr>
          <w:rFonts w:ascii="Arial" w:hAnsi="Arial" w:cs="Arial"/>
          <w:b/>
          <w:sz w:val="22"/>
          <w:szCs w:val="22"/>
        </w:rPr>
      </w:pPr>
    </w:p>
    <w:p w14:paraId="3C20B801" w14:textId="290EEB74" w:rsidR="00312017" w:rsidRPr="00495094" w:rsidRDefault="008F3474" w:rsidP="00415836">
      <w:pPr>
        <w:pStyle w:val="BodyTextIndent2"/>
        <w:ind w:left="0"/>
        <w:rPr>
          <w:rFonts w:ascii="Arial" w:hAnsi="Arial" w:cs="Arial"/>
          <w:sz w:val="22"/>
          <w:szCs w:val="22"/>
        </w:rPr>
      </w:pPr>
      <w:r w:rsidRPr="00495094">
        <w:rPr>
          <w:rFonts w:ascii="Arial" w:hAnsi="Arial" w:cs="Arial"/>
          <w:sz w:val="22"/>
          <w:szCs w:val="22"/>
        </w:rPr>
        <w:t>The Sundry Credits account is a temporary account used as partner clearing account on transactions resulting to outflow of funds on the Due Other Banks account which are cleared the next day.</w:t>
      </w:r>
    </w:p>
    <w:p w14:paraId="65885D7B" w14:textId="77777777" w:rsidR="00965980" w:rsidRPr="00495094" w:rsidRDefault="00965980" w:rsidP="00415836">
      <w:pPr>
        <w:pStyle w:val="BodyTextIndent2"/>
        <w:ind w:left="0"/>
        <w:rPr>
          <w:rFonts w:ascii="Arial" w:hAnsi="Arial" w:cs="Arial"/>
          <w:b/>
          <w:sz w:val="22"/>
          <w:szCs w:val="22"/>
        </w:rPr>
      </w:pPr>
    </w:p>
    <w:p w14:paraId="39716B74" w14:textId="77777777" w:rsidR="003526B1" w:rsidRPr="00495094" w:rsidRDefault="003526B1" w:rsidP="00415836">
      <w:pPr>
        <w:pStyle w:val="BodyTextIndent2"/>
        <w:ind w:left="0"/>
        <w:rPr>
          <w:rFonts w:ascii="Arial" w:hAnsi="Arial" w:cs="Arial"/>
          <w:b/>
          <w:sz w:val="22"/>
          <w:szCs w:val="22"/>
        </w:rPr>
      </w:pPr>
    </w:p>
    <w:p w14:paraId="4A707AB2" w14:textId="37F8D8B0" w:rsidR="004D783E" w:rsidRPr="00495094" w:rsidRDefault="00563093" w:rsidP="007F4EEC">
      <w:pPr>
        <w:numPr>
          <w:ilvl w:val="0"/>
          <w:numId w:val="12"/>
        </w:numPr>
        <w:ind w:left="720"/>
        <w:rPr>
          <w:rFonts w:ascii="Arial" w:hAnsi="Arial" w:cs="Arial"/>
          <w:b/>
          <w:sz w:val="22"/>
          <w:szCs w:val="22"/>
        </w:rPr>
      </w:pPr>
      <w:r w:rsidRPr="00495094">
        <w:rPr>
          <w:rFonts w:ascii="Arial" w:hAnsi="Arial" w:cs="Arial"/>
          <w:b/>
          <w:sz w:val="22"/>
          <w:szCs w:val="22"/>
        </w:rPr>
        <w:t>Capital Stock</w:t>
      </w:r>
    </w:p>
    <w:p w14:paraId="581FD880" w14:textId="77777777" w:rsidR="004D783E" w:rsidRPr="00495094" w:rsidRDefault="004D783E" w:rsidP="004D783E">
      <w:pPr>
        <w:pStyle w:val="BodyTextIndent2"/>
        <w:ind w:left="0"/>
        <w:rPr>
          <w:rFonts w:ascii="Arial" w:hAnsi="Arial" w:cs="Arial"/>
          <w:sz w:val="22"/>
          <w:szCs w:val="22"/>
        </w:rPr>
      </w:pPr>
    </w:p>
    <w:p w14:paraId="46AF74D5" w14:textId="41FC6F68" w:rsidR="00632CF7" w:rsidRPr="00495094" w:rsidRDefault="00632CF7" w:rsidP="00632CF7">
      <w:pPr>
        <w:pStyle w:val="NoSpacing"/>
        <w:spacing w:after="20"/>
        <w:rPr>
          <w:rFonts w:ascii="Arial" w:hAnsi="Arial" w:cs="Arial"/>
        </w:rPr>
      </w:pPr>
      <w:r w:rsidRPr="00495094">
        <w:rPr>
          <w:rFonts w:ascii="Arial" w:hAnsi="Arial" w:cs="Arial"/>
        </w:rPr>
        <w:t>The Bank is authorized to issue 10,000,000 shares at P100 par value of which            10,000,000 shares amounting to P1</w:t>
      </w:r>
      <w:r w:rsidR="001751F9" w:rsidRPr="00495094">
        <w:rPr>
          <w:rFonts w:ascii="Arial" w:hAnsi="Arial" w:cs="Arial"/>
        </w:rPr>
        <w:t xml:space="preserve"> billion</w:t>
      </w:r>
      <w:r w:rsidR="00F73445" w:rsidRPr="00495094">
        <w:rPr>
          <w:rFonts w:ascii="Arial" w:hAnsi="Arial" w:cs="Arial"/>
        </w:rPr>
        <w:t xml:space="preserve"> </w:t>
      </w:r>
      <w:r w:rsidRPr="00495094">
        <w:rPr>
          <w:rFonts w:ascii="Arial" w:hAnsi="Arial" w:cs="Arial"/>
        </w:rPr>
        <w:t>were fully paid and issued.</w:t>
      </w:r>
    </w:p>
    <w:p w14:paraId="5421E1F3" w14:textId="77777777" w:rsidR="00632CF7" w:rsidRPr="00495094" w:rsidRDefault="00632CF7" w:rsidP="00632CF7">
      <w:pPr>
        <w:pStyle w:val="BodyTextIndent2"/>
        <w:ind w:left="0"/>
        <w:rPr>
          <w:rFonts w:ascii="Arial" w:hAnsi="Arial" w:cs="Arial"/>
          <w:sz w:val="22"/>
          <w:szCs w:val="22"/>
        </w:rPr>
      </w:pPr>
    </w:p>
    <w:p w14:paraId="32E60790" w14:textId="742104F4" w:rsidR="00632CF7" w:rsidRPr="00495094" w:rsidRDefault="00632CF7" w:rsidP="00632CF7">
      <w:pPr>
        <w:pStyle w:val="NoSpacing"/>
        <w:spacing w:after="20"/>
        <w:rPr>
          <w:rFonts w:ascii="Arial" w:hAnsi="Arial" w:cs="Arial"/>
        </w:rPr>
      </w:pPr>
      <w:r w:rsidRPr="00495094">
        <w:rPr>
          <w:rFonts w:ascii="Arial" w:hAnsi="Arial" w:cs="Arial"/>
        </w:rPr>
        <w:t>Four million four hundred thousand (4,400,000) shares were issued and were fully paid by PPC amounting to P440</w:t>
      </w:r>
      <w:r w:rsidR="00F73445" w:rsidRPr="00495094">
        <w:rPr>
          <w:rFonts w:ascii="Arial" w:hAnsi="Arial" w:cs="Arial"/>
        </w:rPr>
        <w:t xml:space="preserve"> </w:t>
      </w:r>
      <w:r w:rsidR="001751F9" w:rsidRPr="00495094">
        <w:rPr>
          <w:rFonts w:ascii="Arial" w:hAnsi="Arial" w:cs="Arial"/>
        </w:rPr>
        <w:t>million</w:t>
      </w:r>
      <w:r w:rsidR="004C2EA6" w:rsidRPr="00495094">
        <w:rPr>
          <w:rFonts w:ascii="Arial" w:hAnsi="Arial" w:cs="Arial"/>
        </w:rPr>
        <w:t>.</w:t>
      </w:r>
      <w:r w:rsidRPr="00495094">
        <w:rPr>
          <w:rFonts w:ascii="Arial" w:hAnsi="Arial" w:cs="Arial"/>
        </w:rPr>
        <w:t xml:space="preserve"> Additional issuance of 1,310,080 common shares of stock for the National Government was made by PP</w:t>
      </w:r>
      <w:r w:rsidR="000C299E" w:rsidRPr="00495094">
        <w:rPr>
          <w:rFonts w:ascii="Arial" w:hAnsi="Arial" w:cs="Arial"/>
        </w:rPr>
        <w:t>SB</w:t>
      </w:r>
      <w:r w:rsidRPr="00495094">
        <w:rPr>
          <w:rFonts w:ascii="Arial" w:hAnsi="Arial" w:cs="Arial"/>
        </w:rPr>
        <w:t xml:space="preserve">I corresponding to the latest appraised value of parcel of land where Head Office is situated per Board Resolution No. 2014-142 dated June 10, 2014. These shares were then approved for transfer to LBP on October 10, 2017 per PPC Board Resolution no. 2017-147 in compliance with </w:t>
      </w:r>
      <w:r w:rsidR="008B3396" w:rsidRPr="00495094">
        <w:rPr>
          <w:rFonts w:ascii="Arial" w:hAnsi="Arial" w:cs="Arial"/>
        </w:rPr>
        <w:t>EO N</w:t>
      </w:r>
      <w:r w:rsidRPr="00495094">
        <w:rPr>
          <w:rFonts w:ascii="Arial" w:hAnsi="Arial" w:cs="Arial"/>
        </w:rPr>
        <w:t>o. 44, dated September 28, 2017.</w:t>
      </w:r>
    </w:p>
    <w:p w14:paraId="61DDFFBC" w14:textId="77777777" w:rsidR="00562CB5" w:rsidRPr="00495094" w:rsidRDefault="00562CB5" w:rsidP="00632CF7">
      <w:pPr>
        <w:pStyle w:val="NoSpacing"/>
        <w:spacing w:after="20"/>
        <w:rPr>
          <w:rFonts w:ascii="Arial" w:hAnsi="Arial" w:cs="Arial"/>
        </w:rPr>
      </w:pPr>
    </w:p>
    <w:p w14:paraId="12482607" w14:textId="05731900" w:rsidR="00632CF7" w:rsidRPr="00495094" w:rsidRDefault="00632CF7" w:rsidP="00632CF7">
      <w:pPr>
        <w:pStyle w:val="NoSpacing"/>
        <w:spacing w:after="20"/>
        <w:rPr>
          <w:rFonts w:ascii="Arial" w:hAnsi="Arial" w:cs="Arial"/>
        </w:rPr>
      </w:pPr>
      <w:r w:rsidRPr="00495094">
        <w:rPr>
          <w:rFonts w:ascii="Arial" w:hAnsi="Arial" w:cs="Arial"/>
        </w:rPr>
        <w:t xml:space="preserve">The Board of Directors of the Bank, through Board Resolution No. 2011-274, approved the issuance to the Republic of the Philippines of common shares of stock with par value equal to the cash balance of the Project </w:t>
      </w:r>
      <w:r w:rsidR="00BC09DA" w:rsidRPr="00495094">
        <w:rPr>
          <w:rFonts w:ascii="Arial" w:hAnsi="Arial" w:cs="Arial"/>
        </w:rPr>
        <w:t>Dagdag Regular Income Via Entrepreneurship (</w:t>
      </w:r>
      <w:r w:rsidRPr="00495094">
        <w:rPr>
          <w:rFonts w:ascii="Arial" w:hAnsi="Arial" w:cs="Arial"/>
        </w:rPr>
        <w:t>D</w:t>
      </w:r>
      <w:r w:rsidR="00BC09DA" w:rsidRPr="00495094">
        <w:rPr>
          <w:rFonts w:ascii="Arial" w:hAnsi="Arial" w:cs="Arial"/>
        </w:rPr>
        <w:t>RIVE)</w:t>
      </w:r>
      <w:r w:rsidRPr="00495094">
        <w:rPr>
          <w:rFonts w:ascii="Arial" w:hAnsi="Arial" w:cs="Arial"/>
        </w:rPr>
        <w:t xml:space="preserve"> Fund, a microfinance program for the transport sector, amounting to P249</w:t>
      </w:r>
      <w:r w:rsidR="001751F9" w:rsidRPr="00495094">
        <w:rPr>
          <w:rFonts w:ascii="Arial" w:hAnsi="Arial" w:cs="Arial"/>
        </w:rPr>
        <w:t>.</w:t>
      </w:r>
      <w:r w:rsidRPr="00495094">
        <w:rPr>
          <w:rFonts w:ascii="Arial" w:hAnsi="Arial" w:cs="Arial"/>
        </w:rPr>
        <w:t>2</w:t>
      </w:r>
      <w:r w:rsidR="001751F9" w:rsidRPr="00495094">
        <w:rPr>
          <w:rFonts w:ascii="Arial" w:hAnsi="Arial" w:cs="Arial"/>
        </w:rPr>
        <w:t>4 million</w:t>
      </w:r>
      <w:r w:rsidRPr="00495094">
        <w:rPr>
          <w:rFonts w:ascii="Arial" w:hAnsi="Arial" w:cs="Arial"/>
        </w:rPr>
        <w:t xml:space="preserve"> or equivalent to 2,492,348 shares last 2011. The National Government consented to the treatment of the Fund as capital in the books of PPSBI per memorandum from the Executive Secretary of the Office of the President of the Philippines dated December 16, 2011. </w:t>
      </w:r>
    </w:p>
    <w:p w14:paraId="74E7A29F" w14:textId="77777777" w:rsidR="00632CF7" w:rsidRPr="00495094" w:rsidRDefault="00632CF7" w:rsidP="00632CF7">
      <w:pPr>
        <w:pStyle w:val="BodyTextIndent2"/>
        <w:ind w:left="0"/>
        <w:rPr>
          <w:rFonts w:ascii="Arial" w:hAnsi="Arial" w:cs="Arial"/>
          <w:sz w:val="22"/>
          <w:szCs w:val="22"/>
        </w:rPr>
      </w:pPr>
    </w:p>
    <w:p w14:paraId="7556A3EC" w14:textId="0ACC8443" w:rsidR="00632CF7" w:rsidRPr="00495094" w:rsidRDefault="00BC09DA" w:rsidP="00632CF7">
      <w:pPr>
        <w:pStyle w:val="NoSpacing"/>
        <w:spacing w:after="20"/>
        <w:rPr>
          <w:rFonts w:ascii="Arial" w:hAnsi="Arial" w:cs="Arial"/>
        </w:rPr>
      </w:pPr>
      <w:r w:rsidRPr="00495094">
        <w:rPr>
          <w:rFonts w:ascii="Arial" w:hAnsi="Arial" w:cs="Arial"/>
        </w:rPr>
        <w:t>On</w:t>
      </w:r>
      <w:r w:rsidR="00632CF7" w:rsidRPr="00495094">
        <w:rPr>
          <w:rFonts w:ascii="Arial" w:hAnsi="Arial" w:cs="Arial"/>
        </w:rPr>
        <w:t xml:space="preserve"> September </w:t>
      </w:r>
      <w:r w:rsidRPr="00495094">
        <w:rPr>
          <w:rFonts w:ascii="Arial" w:hAnsi="Arial" w:cs="Arial"/>
        </w:rPr>
        <w:t xml:space="preserve">28, </w:t>
      </w:r>
      <w:r w:rsidR="00632CF7" w:rsidRPr="00495094">
        <w:rPr>
          <w:rFonts w:ascii="Arial" w:hAnsi="Arial" w:cs="Arial"/>
        </w:rPr>
        <w:t>2017, the President of the Philippines, through EO</w:t>
      </w:r>
      <w:r w:rsidRPr="00495094">
        <w:rPr>
          <w:rFonts w:ascii="Arial" w:hAnsi="Arial" w:cs="Arial"/>
        </w:rPr>
        <w:t xml:space="preserve"> No.</w:t>
      </w:r>
      <w:r w:rsidR="00632CF7" w:rsidRPr="00495094">
        <w:rPr>
          <w:rFonts w:ascii="Arial" w:hAnsi="Arial" w:cs="Arial"/>
        </w:rPr>
        <w:t xml:space="preserve"> 44, directed the Bank to return to the National Treasury (NT) the balance amounting to P249.23 million from the previously released P500 million to fund the </w:t>
      </w:r>
      <w:r w:rsidRPr="00495094">
        <w:rPr>
          <w:rFonts w:ascii="Arial" w:hAnsi="Arial" w:cs="Arial"/>
        </w:rPr>
        <w:t>Project DRIVE Fund</w:t>
      </w:r>
      <w:r w:rsidR="00632CF7" w:rsidRPr="00495094">
        <w:rPr>
          <w:rFonts w:ascii="Arial" w:hAnsi="Arial" w:cs="Arial"/>
        </w:rPr>
        <w:t xml:space="preserve">. </w:t>
      </w:r>
    </w:p>
    <w:p w14:paraId="17DB7FCF" w14:textId="77777777" w:rsidR="00632CF7" w:rsidRPr="00495094" w:rsidRDefault="00632CF7" w:rsidP="00632CF7">
      <w:pPr>
        <w:pStyle w:val="BodyTextIndent2"/>
        <w:ind w:left="0"/>
        <w:rPr>
          <w:rFonts w:ascii="Arial" w:hAnsi="Arial" w:cs="Arial"/>
          <w:sz w:val="22"/>
          <w:szCs w:val="22"/>
        </w:rPr>
      </w:pPr>
    </w:p>
    <w:p w14:paraId="5AC2F167" w14:textId="681C9268" w:rsidR="00632CF7" w:rsidRPr="00495094" w:rsidRDefault="00632CF7" w:rsidP="00632CF7">
      <w:pPr>
        <w:pStyle w:val="NoSpacing"/>
        <w:spacing w:after="20"/>
        <w:rPr>
          <w:rFonts w:ascii="Arial" w:hAnsi="Arial" w:cs="Arial"/>
        </w:rPr>
      </w:pPr>
      <w:r w:rsidRPr="00495094">
        <w:rPr>
          <w:rFonts w:ascii="Arial" w:hAnsi="Arial" w:cs="Arial"/>
        </w:rPr>
        <w:t xml:space="preserve">On January 19, 2018, pursuant to EO </w:t>
      </w:r>
      <w:r w:rsidR="008B3396" w:rsidRPr="00495094">
        <w:rPr>
          <w:rFonts w:ascii="Arial" w:hAnsi="Arial" w:cs="Arial"/>
        </w:rPr>
        <w:t xml:space="preserve">No. </w:t>
      </w:r>
      <w:r w:rsidRPr="00495094">
        <w:rPr>
          <w:rFonts w:ascii="Arial" w:hAnsi="Arial" w:cs="Arial"/>
        </w:rPr>
        <w:t>44, the Bank transferred to the NT the amount of P249</w:t>
      </w:r>
      <w:r w:rsidR="001751F9" w:rsidRPr="00495094">
        <w:rPr>
          <w:rFonts w:ascii="Arial" w:hAnsi="Arial" w:cs="Arial"/>
        </w:rPr>
        <w:t>.2</w:t>
      </w:r>
      <w:r w:rsidR="003C618E" w:rsidRPr="00495094">
        <w:rPr>
          <w:rFonts w:ascii="Arial" w:hAnsi="Arial" w:cs="Arial"/>
        </w:rPr>
        <w:t>3</w:t>
      </w:r>
      <w:r w:rsidR="001751F9" w:rsidRPr="00495094">
        <w:rPr>
          <w:rFonts w:ascii="Arial" w:hAnsi="Arial" w:cs="Arial"/>
        </w:rPr>
        <w:t xml:space="preserve"> million</w:t>
      </w:r>
      <w:r w:rsidRPr="00495094">
        <w:rPr>
          <w:rFonts w:ascii="Arial" w:hAnsi="Arial" w:cs="Arial"/>
        </w:rPr>
        <w:t xml:space="preserve"> which is the equivalent value of the Capital Stock issued for the remaining balance of the P</w:t>
      </w:r>
      <w:r w:rsidR="00BC09DA" w:rsidRPr="00495094">
        <w:rPr>
          <w:rFonts w:ascii="Arial" w:hAnsi="Arial" w:cs="Arial"/>
        </w:rPr>
        <w:t xml:space="preserve">roject </w:t>
      </w:r>
      <w:r w:rsidRPr="00495094">
        <w:rPr>
          <w:rFonts w:ascii="Arial" w:hAnsi="Arial" w:cs="Arial"/>
        </w:rPr>
        <w:t>D</w:t>
      </w:r>
      <w:r w:rsidR="00BC09DA" w:rsidRPr="00495094">
        <w:rPr>
          <w:rFonts w:ascii="Arial" w:hAnsi="Arial" w:cs="Arial"/>
        </w:rPr>
        <w:t xml:space="preserve">RIVE </w:t>
      </w:r>
      <w:r w:rsidRPr="00495094">
        <w:rPr>
          <w:rFonts w:ascii="Arial" w:hAnsi="Arial" w:cs="Arial"/>
        </w:rPr>
        <w:t>F</w:t>
      </w:r>
      <w:r w:rsidR="00BC09DA" w:rsidRPr="00495094">
        <w:rPr>
          <w:rFonts w:ascii="Arial" w:hAnsi="Arial" w:cs="Arial"/>
        </w:rPr>
        <w:t>und</w:t>
      </w:r>
      <w:r w:rsidRPr="00495094">
        <w:rPr>
          <w:rFonts w:ascii="Arial" w:hAnsi="Arial" w:cs="Arial"/>
        </w:rPr>
        <w:t>.</w:t>
      </w:r>
    </w:p>
    <w:p w14:paraId="03B3E805" w14:textId="77777777" w:rsidR="00632CF7" w:rsidRPr="00495094" w:rsidRDefault="00632CF7" w:rsidP="00632CF7">
      <w:pPr>
        <w:rPr>
          <w:rFonts w:ascii="Arial" w:hAnsi="Arial" w:cs="Arial"/>
          <w:sz w:val="22"/>
          <w:szCs w:val="22"/>
        </w:rPr>
      </w:pPr>
    </w:p>
    <w:p w14:paraId="27D8B500" w14:textId="1C7127BA" w:rsidR="00632CF7" w:rsidRPr="00495094" w:rsidRDefault="00632CF7" w:rsidP="00632CF7">
      <w:pPr>
        <w:pStyle w:val="NoSpacing"/>
        <w:spacing w:after="20"/>
        <w:rPr>
          <w:rFonts w:ascii="Arial" w:hAnsi="Arial" w:cs="Arial"/>
        </w:rPr>
      </w:pPr>
      <w:r w:rsidRPr="00495094">
        <w:rPr>
          <w:rFonts w:ascii="Arial" w:hAnsi="Arial" w:cs="Arial"/>
        </w:rPr>
        <w:t xml:space="preserve">On July 6, 2018, the </w:t>
      </w:r>
      <w:r w:rsidR="00A87C81" w:rsidRPr="00495094">
        <w:rPr>
          <w:rFonts w:ascii="Arial" w:hAnsi="Arial" w:cs="Arial"/>
        </w:rPr>
        <w:t>LBP</w:t>
      </w:r>
      <w:r w:rsidRPr="00495094">
        <w:rPr>
          <w:rFonts w:ascii="Arial" w:hAnsi="Arial" w:cs="Arial"/>
        </w:rPr>
        <w:t xml:space="preserve"> subscribed and paid four million two hundred eighty-nine thousand nine hundred twenty (4,289,920) shares amounting to P428</w:t>
      </w:r>
      <w:r w:rsidR="001751F9" w:rsidRPr="00495094">
        <w:rPr>
          <w:rFonts w:ascii="Arial" w:hAnsi="Arial" w:cs="Arial"/>
        </w:rPr>
        <w:t>.</w:t>
      </w:r>
      <w:r w:rsidRPr="00495094">
        <w:rPr>
          <w:rFonts w:ascii="Arial" w:hAnsi="Arial" w:cs="Arial"/>
        </w:rPr>
        <w:t>99</w:t>
      </w:r>
      <w:r w:rsidR="001751F9" w:rsidRPr="00495094">
        <w:rPr>
          <w:rFonts w:ascii="Arial" w:hAnsi="Arial" w:cs="Arial"/>
        </w:rPr>
        <w:t xml:space="preserve"> million</w:t>
      </w:r>
      <w:r w:rsidRPr="00495094">
        <w:rPr>
          <w:rFonts w:ascii="Arial" w:hAnsi="Arial" w:cs="Arial"/>
        </w:rPr>
        <w:t>.</w:t>
      </w:r>
    </w:p>
    <w:p w14:paraId="3FA488C8" w14:textId="77777777" w:rsidR="00632CF7" w:rsidRPr="00495094" w:rsidRDefault="00632CF7" w:rsidP="00632CF7">
      <w:pPr>
        <w:pStyle w:val="NoSpacing"/>
        <w:spacing w:after="20"/>
        <w:rPr>
          <w:rFonts w:ascii="Arial" w:hAnsi="Arial" w:cs="Arial"/>
        </w:rPr>
      </w:pPr>
    </w:p>
    <w:p w14:paraId="26203AF2" w14:textId="7A1A97AB" w:rsidR="00632CF7" w:rsidRPr="00495094" w:rsidRDefault="00632CF7" w:rsidP="00632CF7">
      <w:pPr>
        <w:pStyle w:val="NoSpacing"/>
        <w:spacing w:after="20"/>
        <w:rPr>
          <w:rFonts w:ascii="Arial" w:hAnsi="Arial" w:cs="Arial"/>
        </w:rPr>
      </w:pPr>
      <w:r w:rsidRPr="00495094">
        <w:rPr>
          <w:rFonts w:ascii="Arial" w:hAnsi="Arial" w:cs="Arial"/>
        </w:rPr>
        <w:lastRenderedPageBreak/>
        <w:t>EO No. 44 series of 2017 provides that “In order to strengthen the capital base of OFB and enable the same to attain its primary agenda of servicing the various financial and banking needs of overseas Filipinos, the LBP is hereby directed to infuse the necessary capital to OFB”.</w:t>
      </w:r>
    </w:p>
    <w:p w14:paraId="3D822B08" w14:textId="1CA8C66F" w:rsidR="00632CF7" w:rsidRPr="00495094" w:rsidRDefault="00632CF7" w:rsidP="00632CF7">
      <w:pPr>
        <w:pStyle w:val="NoSpacing"/>
        <w:spacing w:after="20"/>
        <w:rPr>
          <w:rFonts w:ascii="Arial" w:hAnsi="Arial" w:cs="Arial"/>
        </w:rPr>
      </w:pPr>
    </w:p>
    <w:p w14:paraId="45B9B8EF" w14:textId="4EF2091A" w:rsidR="00632CF7" w:rsidRPr="00495094" w:rsidRDefault="00632CF7" w:rsidP="00632CF7">
      <w:pPr>
        <w:pStyle w:val="NoSpacing"/>
        <w:spacing w:after="20"/>
        <w:rPr>
          <w:rFonts w:ascii="Arial" w:hAnsi="Arial" w:cs="Arial"/>
        </w:rPr>
      </w:pPr>
      <w:r w:rsidRPr="00495094">
        <w:rPr>
          <w:rFonts w:ascii="Arial" w:hAnsi="Arial" w:cs="Arial"/>
        </w:rPr>
        <w:t>Relatedly, at the respective meetings of the stockholders and Board of Directors held on May 18, 2018, approved the increase in the authorized capital stock from P1</w:t>
      </w:r>
      <w:r w:rsidR="00ED1161" w:rsidRPr="00495094">
        <w:rPr>
          <w:rFonts w:ascii="Arial" w:hAnsi="Arial" w:cs="Arial"/>
        </w:rPr>
        <w:t>.0</w:t>
      </w:r>
      <w:r w:rsidRPr="00495094">
        <w:rPr>
          <w:rFonts w:ascii="Arial" w:hAnsi="Arial" w:cs="Arial"/>
        </w:rPr>
        <w:t xml:space="preserve"> billion to P3.5 billion divided into 30</w:t>
      </w:r>
      <w:r w:rsidR="00ED1161" w:rsidRPr="00495094">
        <w:rPr>
          <w:rFonts w:ascii="Arial" w:hAnsi="Arial" w:cs="Arial"/>
        </w:rPr>
        <w:t>.0</w:t>
      </w:r>
      <w:r w:rsidRPr="00495094">
        <w:rPr>
          <w:rFonts w:ascii="Arial" w:hAnsi="Arial" w:cs="Arial"/>
        </w:rPr>
        <w:t xml:space="preserve"> million common shares with a par value of</w:t>
      </w:r>
      <w:r w:rsidR="002308A1" w:rsidRPr="00495094">
        <w:rPr>
          <w:rFonts w:ascii="Arial" w:hAnsi="Arial" w:cs="Arial"/>
        </w:rPr>
        <w:t xml:space="preserve"> P100 per share </w:t>
      </w:r>
      <w:r w:rsidRPr="00495094">
        <w:rPr>
          <w:rFonts w:ascii="Arial" w:hAnsi="Arial" w:cs="Arial"/>
        </w:rPr>
        <w:t>and 5</w:t>
      </w:r>
      <w:r w:rsidR="00ED1161" w:rsidRPr="00495094">
        <w:rPr>
          <w:rFonts w:ascii="Arial" w:hAnsi="Arial" w:cs="Arial"/>
        </w:rPr>
        <w:t>.0</w:t>
      </w:r>
      <w:r w:rsidRPr="00495094">
        <w:rPr>
          <w:rFonts w:ascii="Arial" w:hAnsi="Arial" w:cs="Arial"/>
        </w:rPr>
        <w:t xml:space="preserve"> million preferred shares with a par value of P100 per share.  </w:t>
      </w:r>
    </w:p>
    <w:p w14:paraId="00F8794D" w14:textId="77777777" w:rsidR="00632CF7" w:rsidRPr="00495094" w:rsidRDefault="00632CF7" w:rsidP="00632CF7">
      <w:pPr>
        <w:pStyle w:val="NoSpacing"/>
        <w:spacing w:after="20"/>
        <w:rPr>
          <w:rFonts w:ascii="Arial" w:hAnsi="Arial" w:cs="Arial"/>
        </w:rPr>
      </w:pPr>
    </w:p>
    <w:p w14:paraId="57523598" w14:textId="6939B5B0" w:rsidR="00632CF7" w:rsidRPr="00495094" w:rsidRDefault="00632CF7" w:rsidP="00632CF7">
      <w:pPr>
        <w:pStyle w:val="NoSpacing"/>
        <w:spacing w:after="20"/>
        <w:rPr>
          <w:rFonts w:ascii="Arial" w:hAnsi="Arial" w:cs="Arial"/>
        </w:rPr>
      </w:pPr>
      <w:r w:rsidRPr="00495094">
        <w:rPr>
          <w:rFonts w:ascii="Arial" w:hAnsi="Arial" w:cs="Arial"/>
        </w:rPr>
        <w:t xml:space="preserve">In January and December 2019, the </w:t>
      </w:r>
      <w:r w:rsidR="008B3396" w:rsidRPr="00495094">
        <w:rPr>
          <w:rFonts w:ascii="Arial" w:hAnsi="Arial" w:cs="Arial"/>
        </w:rPr>
        <w:t>P</w:t>
      </w:r>
      <w:r w:rsidRPr="00495094">
        <w:rPr>
          <w:rFonts w:ascii="Arial" w:hAnsi="Arial" w:cs="Arial"/>
        </w:rPr>
        <w:t xml:space="preserve">arent </w:t>
      </w:r>
      <w:r w:rsidR="008B3396" w:rsidRPr="00495094">
        <w:rPr>
          <w:rFonts w:ascii="Arial" w:hAnsi="Arial" w:cs="Arial"/>
        </w:rPr>
        <w:t>B</w:t>
      </w:r>
      <w:r w:rsidRPr="00495094">
        <w:rPr>
          <w:rFonts w:ascii="Arial" w:hAnsi="Arial" w:cs="Arial"/>
        </w:rPr>
        <w:t xml:space="preserve">ank, </w:t>
      </w:r>
      <w:r w:rsidR="00085D83" w:rsidRPr="00495094">
        <w:rPr>
          <w:rFonts w:ascii="Arial" w:hAnsi="Arial" w:cs="Arial"/>
        </w:rPr>
        <w:t xml:space="preserve">LBP </w:t>
      </w:r>
      <w:r w:rsidRPr="00495094">
        <w:rPr>
          <w:rFonts w:ascii="Arial" w:hAnsi="Arial" w:cs="Arial"/>
        </w:rPr>
        <w:t>contributed cash of P500 million and P772 million, respectively</w:t>
      </w:r>
      <w:r w:rsidR="00AC460B" w:rsidRPr="00495094">
        <w:rPr>
          <w:rFonts w:ascii="Arial" w:hAnsi="Arial" w:cs="Arial"/>
        </w:rPr>
        <w:t>,</w:t>
      </w:r>
      <w:r w:rsidRPr="00495094">
        <w:rPr>
          <w:rFonts w:ascii="Arial" w:hAnsi="Arial" w:cs="Arial"/>
        </w:rPr>
        <w:t xml:space="preserve"> and recognized as deposit for stock subscription. </w:t>
      </w:r>
    </w:p>
    <w:p w14:paraId="07DEF206" w14:textId="77777777" w:rsidR="00632CF7" w:rsidRPr="00495094" w:rsidRDefault="00632CF7" w:rsidP="00632CF7">
      <w:pPr>
        <w:pStyle w:val="ListParagraph"/>
        <w:contextualSpacing/>
      </w:pPr>
    </w:p>
    <w:p w14:paraId="00EDAC15" w14:textId="31C7F389" w:rsidR="00D043B6" w:rsidRPr="00495094" w:rsidRDefault="002308A1" w:rsidP="004D783E">
      <w:pPr>
        <w:rPr>
          <w:rFonts w:ascii="Arial" w:eastAsia="Calibri" w:hAnsi="Arial" w:cs="Arial"/>
          <w:sz w:val="22"/>
          <w:szCs w:val="22"/>
        </w:rPr>
      </w:pPr>
      <w:r w:rsidRPr="00495094">
        <w:rPr>
          <w:rFonts w:ascii="Arial" w:eastAsia="Calibri" w:hAnsi="Arial" w:cs="Arial"/>
          <w:sz w:val="22"/>
          <w:szCs w:val="22"/>
        </w:rPr>
        <w:t xml:space="preserve">The Bank </w:t>
      </w:r>
      <w:r w:rsidR="00BA06E8" w:rsidRPr="00495094">
        <w:rPr>
          <w:rFonts w:ascii="Arial" w:eastAsia="Calibri" w:hAnsi="Arial" w:cs="Arial"/>
          <w:sz w:val="22"/>
          <w:szCs w:val="22"/>
        </w:rPr>
        <w:t xml:space="preserve">received the endorsement by the Government Commission on GOCCs on the proposed increase in capital stock which was also filed and approved by the Securities and Exchange Commission </w:t>
      </w:r>
      <w:r w:rsidR="00D31FAF" w:rsidRPr="00495094">
        <w:rPr>
          <w:rFonts w:ascii="Arial" w:eastAsia="Calibri" w:hAnsi="Arial" w:cs="Arial"/>
          <w:sz w:val="22"/>
          <w:szCs w:val="22"/>
        </w:rPr>
        <w:t>through issuance of Certificate of Approval of Increase of Capital Stock from P1</w:t>
      </w:r>
      <w:r w:rsidR="00ED1161" w:rsidRPr="00495094">
        <w:rPr>
          <w:rFonts w:ascii="Arial" w:eastAsia="Calibri" w:hAnsi="Arial" w:cs="Arial"/>
          <w:sz w:val="22"/>
          <w:szCs w:val="22"/>
        </w:rPr>
        <w:t>.0 billion</w:t>
      </w:r>
      <w:r w:rsidR="00D31FAF" w:rsidRPr="00495094">
        <w:rPr>
          <w:rFonts w:ascii="Arial" w:eastAsia="Calibri" w:hAnsi="Arial" w:cs="Arial"/>
          <w:sz w:val="22"/>
          <w:szCs w:val="22"/>
        </w:rPr>
        <w:t xml:space="preserve"> divided into 10</w:t>
      </w:r>
      <w:r w:rsidR="00ED1161" w:rsidRPr="00495094">
        <w:rPr>
          <w:rFonts w:ascii="Arial" w:eastAsia="Calibri" w:hAnsi="Arial" w:cs="Arial"/>
          <w:sz w:val="22"/>
          <w:szCs w:val="22"/>
        </w:rPr>
        <w:t xml:space="preserve">.0 million </w:t>
      </w:r>
      <w:r w:rsidR="00D31FAF" w:rsidRPr="00495094">
        <w:rPr>
          <w:rFonts w:ascii="Arial" w:eastAsia="Calibri" w:hAnsi="Arial" w:cs="Arial"/>
          <w:sz w:val="22"/>
          <w:szCs w:val="22"/>
        </w:rPr>
        <w:t xml:space="preserve">shares </w:t>
      </w:r>
      <w:r w:rsidR="00ED1161" w:rsidRPr="00495094">
        <w:rPr>
          <w:rFonts w:ascii="Arial" w:eastAsia="Calibri" w:hAnsi="Arial" w:cs="Arial"/>
          <w:sz w:val="22"/>
          <w:szCs w:val="22"/>
        </w:rPr>
        <w:t xml:space="preserve">of the </w:t>
      </w:r>
      <w:r w:rsidR="00D31FAF" w:rsidRPr="00495094">
        <w:rPr>
          <w:rFonts w:ascii="Arial" w:eastAsia="Calibri" w:hAnsi="Arial" w:cs="Arial"/>
          <w:sz w:val="22"/>
          <w:szCs w:val="22"/>
        </w:rPr>
        <w:t>p</w:t>
      </w:r>
      <w:r w:rsidR="00ED1161" w:rsidRPr="00495094">
        <w:rPr>
          <w:rFonts w:ascii="Arial" w:eastAsia="Calibri" w:hAnsi="Arial" w:cs="Arial"/>
          <w:sz w:val="22"/>
          <w:szCs w:val="22"/>
        </w:rPr>
        <w:t>ar value of P100 each, to P3.</w:t>
      </w:r>
      <w:r w:rsidR="00D31FAF" w:rsidRPr="00495094">
        <w:rPr>
          <w:rFonts w:ascii="Arial" w:eastAsia="Calibri" w:hAnsi="Arial" w:cs="Arial"/>
          <w:sz w:val="22"/>
          <w:szCs w:val="22"/>
        </w:rPr>
        <w:t>5</w:t>
      </w:r>
      <w:r w:rsidR="00ED1161" w:rsidRPr="00495094">
        <w:rPr>
          <w:rFonts w:ascii="Arial" w:eastAsia="Calibri" w:hAnsi="Arial" w:cs="Arial"/>
          <w:sz w:val="22"/>
          <w:szCs w:val="22"/>
        </w:rPr>
        <w:t xml:space="preserve"> billion</w:t>
      </w:r>
      <w:r w:rsidR="00D31FAF" w:rsidRPr="00495094">
        <w:rPr>
          <w:rFonts w:ascii="Arial" w:eastAsia="Calibri" w:hAnsi="Arial" w:cs="Arial"/>
          <w:sz w:val="22"/>
          <w:szCs w:val="22"/>
        </w:rPr>
        <w:t xml:space="preserve"> divided into 30</w:t>
      </w:r>
      <w:r w:rsidR="00ED1161" w:rsidRPr="00495094">
        <w:rPr>
          <w:rFonts w:ascii="Arial" w:eastAsia="Calibri" w:hAnsi="Arial" w:cs="Arial"/>
          <w:sz w:val="22"/>
          <w:szCs w:val="22"/>
        </w:rPr>
        <w:t>.0 million</w:t>
      </w:r>
      <w:r w:rsidR="00D31FAF" w:rsidRPr="00495094">
        <w:rPr>
          <w:rFonts w:ascii="Arial" w:eastAsia="Calibri" w:hAnsi="Arial" w:cs="Arial"/>
          <w:sz w:val="22"/>
          <w:szCs w:val="22"/>
        </w:rPr>
        <w:t xml:space="preserve"> common shares of the </w:t>
      </w:r>
      <w:r w:rsidR="00ED1161" w:rsidRPr="00495094">
        <w:rPr>
          <w:rFonts w:ascii="Arial" w:eastAsia="Calibri" w:hAnsi="Arial" w:cs="Arial"/>
          <w:sz w:val="22"/>
          <w:szCs w:val="22"/>
        </w:rPr>
        <w:t>par value of P100 each and 5.0 million</w:t>
      </w:r>
      <w:r w:rsidR="00D31FAF" w:rsidRPr="00495094">
        <w:rPr>
          <w:rFonts w:ascii="Arial" w:eastAsia="Calibri" w:hAnsi="Arial" w:cs="Arial"/>
          <w:sz w:val="22"/>
          <w:szCs w:val="22"/>
        </w:rPr>
        <w:t xml:space="preserve"> preferred shares of the par value of P100 each, and Certificate of Filing of Amended Articles of Incorporation</w:t>
      </w:r>
      <w:r w:rsidR="00562CB5" w:rsidRPr="00495094">
        <w:rPr>
          <w:rFonts w:ascii="Arial" w:eastAsia="Calibri" w:hAnsi="Arial" w:cs="Arial"/>
          <w:sz w:val="22"/>
          <w:szCs w:val="22"/>
        </w:rPr>
        <w:t xml:space="preserve"> </w:t>
      </w:r>
      <w:r w:rsidR="00D31FAF" w:rsidRPr="00495094">
        <w:rPr>
          <w:rFonts w:ascii="Arial" w:eastAsia="Calibri" w:hAnsi="Arial" w:cs="Arial"/>
          <w:sz w:val="22"/>
          <w:szCs w:val="22"/>
        </w:rPr>
        <w:t>dated March 18, 2021.</w:t>
      </w:r>
    </w:p>
    <w:p w14:paraId="7F67BBA3" w14:textId="77777777" w:rsidR="00E11B24" w:rsidRPr="00495094" w:rsidRDefault="00E11B24" w:rsidP="004D783E">
      <w:pPr>
        <w:rPr>
          <w:rFonts w:ascii="Arial" w:eastAsia="Calibri" w:hAnsi="Arial" w:cs="Arial"/>
          <w:sz w:val="22"/>
          <w:szCs w:val="22"/>
        </w:rPr>
      </w:pPr>
    </w:p>
    <w:p w14:paraId="47B2E39B" w14:textId="0C3EBE02" w:rsidR="00BA06E8" w:rsidRPr="00495094" w:rsidRDefault="00DC0F54" w:rsidP="00AD182D">
      <w:pPr>
        <w:pStyle w:val="BodyText3"/>
        <w:tabs>
          <w:tab w:val="clear" w:pos="8550"/>
        </w:tabs>
      </w:pPr>
      <w:r w:rsidRPr="00495094">
        <w:t xml:space="preserve">On </w:t>
      </w:r>
      <w:r w:rsidR="00AD182D" w:rsidRPr="00495094">
        <w:t xml:space="preserve">May 26, </w:t>
      </w:r>
      <w:r w:rsidRPr="00495094">
        <w:t xml:space="preserve">2022, the </w:t>
      </w:r>
      <w:r w:rsidR="008B3396" w:rsidRPr="00495094">
        <w:t>P</w:t>
      </w:r>
      <w:r w:rsidRPr="00495094">
        <w:t xml:space="preserve">arent </w:t>
      </w:r>
      <w:r w:rsidR="008B3396" w:rsidRPr="00495094">
        <w:t>B</w:t>
      </w:r>
      <w:r w:rsidRPr="00495094">
        <w:t xml:space="preserve">ank infused additional capital amounting to P 407.992 million to meet the requirement of the </w:t>
      </w:r>
      <w:r w:rsidR="008B3396" w:rsidRPr="00495094">
        <w:t>P</w:t>
      </w:r>
      <w:r w:rsidRPr="00495094">
        <w:t>1 billion capitalization of a digital bank.</w:t>
      </w:r>
    </w:p>
    <w:p w14:paraId="0532746A" w14:textId="77777777" w:rsidR="00DC0F54" w:rsidRPr="00495094" w:rsidRDefault="00DC0F54" w:rsidP="004D783E">
      <w:pPr>
        <w:rPr>
          <w:rFonts w:ascii="Arial" w:hAnsi="Arial" w:cs="Arial"/>
          <w:b/>
          <w:bCs/>
          <w:sz w:val="22"/>
          <w:szCs w:val="22"/>
        </w:rPr>
      </w:pPr>
    </w:p>
    <w:p w14:paraId="62F2CF50" w14:textId="77777777" w:rsidR="002308A1" w:rsidRPr="00495094" w:rsidRDefault="002308A1" w:rsidP="004D783E">
      <w:pPr>
        <w:rPr>
          <w:rFonts w:ascii="Arial" w:hAnsi="Arial" w:cs="Arial"/>
          <w:b/>
          <w:bCs/>
          <w:sz w:val="22"/>
          <w:szCs w:val="22"/>
        </w:rPr>
      </w:pPr>
    </w:p>
    <w:p w14:paraId="4DB83FFA" w14:textId="62FAC299" w:rsidR="00EF2EB7" w:rsidRPr="00495094" w:rsidRDefault="00A856F8" w:rsidP="007F4EEC">
      <w:pPr>
        <w:numPr>
          <w:ilvl w:val="0"/>
          <w:numId w:val="12"/>
        </w:numPr>
        <w:ind w:left="720"/>
        <w:rPr>
          <w:rFonts w:ascii="Arial" w:hAnsi="Arial" w:cs="Arial"/>
          <w:sz w:val="22"/>
          <w:szCs w:val="22"/>
        </w:rPr>
      </w:pPr>
      <w:r w:rsidRPr="00495094">
        <w:rPr>
          <w:rFonts w:ascii="Arial" w:hAnsi="Arial" w:cs="Arial"/>
          <w:b/>
          <w:bCs/>
          <w:sz w:val="22"/>
          <w:szCs w:val="22"/>
        </w:rPr>
        <w:t>Retained Earnings</w:t>
      </w:r>
      <w:r w:rsidR="00F979B2" w:rsidRPr="00495094">
        <w:rPr>
          <w:rFonts w:ascii="Arial" w:hAnsi="Arial" w:cs="Arial"/>
          <w:b/>
          <w:bCs/>
          <w:sz w:val="22"/>
          <w:szCs w:val="22"/>
        </w:rPr>
        <w:t>/(</w:t>
      </w:r>
      <w:r w:rsidR="00D52F01" w:rsidRPr="00495094">
        <w:rPr>
          <w:rFonts w:ascii="Arial" w:hAnsi="Arial" w:cs="Arial"/>
          <w:b/>
          <w:bCs/>
          <w:sz w:val="22"/>
          <w:szCs w:val="22"/>
        </w:rPr>
        <w:t>Deficit</w:t>
      </w:r>
      <w:r w:rsidR="00F979B2" w:rsidRPr="00495094">
        <w:rPr>
          <w:rFonts w:ascii="Arial" w:hAnsi="Arial" w:cs="Arial"/>
          <w:b/>
          <w:bCs/>
          <w:sz w:val="22"/>
          <w:szCs w:val="22"/>
        </w:rPr>
        <w:t>)</w:t>
      </w:r>
    </w:p>
    <w:p w14:paraId="307B37DB" w14:textId="77777777" w:rsidR="00EF2EB7" w:rsidRPr="00495094" w:rsidRDefault="00EF2EB7" w:rsidP="00EF2EB7">
      <w:pPr>
        <w:rPr>
          <w:rFonts w:ascii="Arial" w:hAnsi="Arial" w:cs="Arial"/>
          <w:sz w:val="22"/>
          <w:szCs w:val="22"/>
        </w:rPr>
      </w:pPr>
    </w:p>
    <w:p w14:paraId="0EA06960" w14:textId="1361C818" w:rsidR="00A856F8" w:rsidRPr="00495094" w:rsidRDefault="00A856F8" w:rsidP="008B3396">
      <w:pPr>
        <w:rPr>
          <w:rFonts w:ascii="Arial" w:hAnsi="Arial" w:cs="Arial"/>
          <w:sz w:val="22"/>
          <w:szCs w:val="22"/>
        </w:rPr>
      </w:pPr>
      <w:r w:rsidRPr="00495094">
        <w:rPr>
          <w:rFonts w:ascii="Arial" w:hAnsi="Arial" w:cs="Arial"/>
          <w:sz w:val="22"/>
          <w:szCs w:val="22"/>
        </w:rPr>
        <w:t>In consonance with PAS 8, the balance of this account as of December 31, 20</w:t>
      </w:r>
      <w:r w:rsidR="00420B7C" w:rsidRPr="00495094">
        <w:rPr>
          <w:rFonts w:ascii="Arial" w:hAnsi="Arial" w:cs="Arial"/>
          <w:sz w:val="22"/>
          <w:szCs w:val="22"/>
        </w:rPr>
        <w:t>2</w:t>
      </w:r>
      <w:r w:rsidR="008768D2" w:rsidRPr="00495094">
        <w:rPr>
          <w:rFonts w:ascii="Arial" w:hAnsi="Arial" w:cs="Arial"/>
          <w:sz w:val="22"/>
          <w:szCs w:val="22"/>
        </w:rPr>
        <w:t>2</w:t>
      </w:r>
      <w:r w:rsidRPr="00495094">
        <w:rPr>
          <w:rFonts w:ascii="Arial" w:hAnsi="Arial" w:cs="Arial"/>
          <w:sz w:val="22"/>
          <w:szCs w:val="22"/>
        </w:rPr>
        <w:t xml:space="preserve"> w</w:t>
      </w:r>
      <w:r w:rsidR="00562CB5" w:rsidRPr="00495094">
        <w:rPr>
          <w:rFonts w:ascii="Arial" w:hAnsi="Arial" w:cs="Arial"/>
          <w:sz w:val="22"/>
          <w:szCs w:val="22"/>
        </w:rPr>
        <w:t>as</w:t>
      </w:r>
      <w:r w:rsidRPr="00495094">
        <w:rPr>
          <w:rFonts w:ascii="Arial" w:hAnsi="Arial" w:cs="Arial"/>
          <w:sz w:val="22"/>
          <w:szCs w:val="22"/>
        </w:rPr>
        <w:t xml:space="preserve"> restated for prior period adjustments. The adjustments principally relate to reclassification of various accounts, recognition of expenses and the reversal of income. </w:t>
      </w:r>
    </w:p>
    <w:p w14:paraId="08D9C229" w14:textId="77777777" w:rsidR="00ED1161" w:rsidRPr="00495094" w:rsidRDefault="00ED1161" w:rsidP="00A856F8">
      <w:pPr>
        <w:rPr>
          <w:rFonts w:ascii="Arial" w:hAnsi="Arial" w:cs="Arial"/>
          <w:sz w:val="22"/>
          <w:szCs w:val="22"/>
        </w:rPr>
      </w:pPr>
    </w:p>
    <w:p w14:paraId="3AEEAEE2" w14:textId="61414092" w:rsidR="00A856F8" w:rsidRPr="00495094" w:rsidRDefault="00D52F01" w:rsidP="00A856F8">
      <w:pPr>
        <w:rPr>
          <w:rFonts w:ascii="Arial" w:hAnsi="Arial" w:cs="Arial"/>
          <w:sz w:val="22"/>
          <w:szCs w:val="22"/>
        </w:rPr>
      </w:pPr>
      <w:bookmarkStart w:id="2" w:name="_Hlk134794251"/>
      <w:bookmarkStart w:id="3" w:name="_Hlk134794721"/>
      <w:r w:rsidRPr="00495094">
        <w:rPr>
          <w:rFonts w:ascii="Arial" w:hAnsi="Arial" w:cs="Arial"/>
          <w:sz w:val="22"/>
          <w:szCs w:val="22"/>
        </w:rPr>
        <w:t>Details of the restate</w:t>
      </w:r>
      <w:r w:rsidR="00185B65" w:rsidRPr="00495094">
        <w:rPr>
          <w:rFonts w:ascii="Arial" w:hAnsi="Arial" w:cs="Arial"/>
          <w:sz w:val="22"/>
          <w:szCs w:val="22"/>
        </w:rPr>
        <w:t xml:space="preserve">ment of </w:t>
      </w:r>
      <w:r w:rsidR="00A856F8" w:rsidRPr="00495094">
        <w:rPr>
          <w:rFonts w:ascii="Arial" w:hAnsi="Arial" w:cs="Arial"/>
          <w:sz w:val="22"/>
          <w:szCs w:val="22"/>
        </w:rPr>
        <w:t>Retained earnings</w:t>
      </w:r>
      <w:r w:rsidR="00F979B2" w:rsidRPr="00495094">
        <w:rPr>
          <w:rFonts w:ascii="Arial" w:hAnsi="Arial" w:cs="Arial"/>
          <w:sz w:val="22"/>
          <w:szCs w:val="22"/>
        </w:rPr>
        <w:t>/(Deficit)</w:t>
      </w:r>
      <w:r w:rsidR="00A856F8" w:rsidRPr="00495094">
        <w:rPr>
          <w:rFonts w:ascii="Arial" w:hAnsi="Arial" w:cs="Arial"/>
          <w:sz w:val="22"/>
          <w:szCs w:val="22"/>
        </w:rPr>
        <w:t xml:space="preserve"> </w:t>
      </w:r>
      <w:r w:rsidR="0010625C" w:rsidRPr="00495094">
        <w:rPr>
          <w:rFonts w:ascii="Arial" w:hAnsi="Arial" w:cs="Arial"/>
          <w:sz w:val="22"/>
          <w:szCs w:val="22"/>
        </w:rPr>
        <w:t>of the Bank as December 31, 20</w:t>
      </w:r>
      <w:r w:rsidR="00420B7C" w:rsidRPr="00495094">
        <w:rPr>
          <w:rFonts w:ascii="Arial" w:hAnsi="Arial" w:cs="Arial"/>
          <w:sz w:val="22"/>
          <w:szCs w:val="22"/>
        </w:rPr>
        <w:t>2</w:t>
      </w:r>
      <w:r w:rsidR="004A346E" w:rsidRPr="00495094">
        <w:rPr>
          <w:rFonts w:ascii="Arial" w:hAnsi="Arial" w:cs="Arial"/>
          <w:sz w:val="22"/>
          <w:szCs w:val="22"/>
        </w:rPr>
        <w:t>1</w:t>
      </w:r>
      <w:r w:rsidR="00A856F8" w:rsidRPr="00495094">
        <w:rPr>
          <w:rFonts w:ascii="Arial" w:hAnsi="Arial" w:cs="Arial"/>
          <w:sz w:val="22"/>
          <w:szCs w:val="22"/>
        </w:rPr>
        <w:t xml:space="preserve"> </w:t>
      </w:r>
      <w:r w:rsidR="00185B65" w:rsidRPr="00495094">
        <w:rPr>
          <w:rFonts w:ascii="Arial" w:hAnsi="Arial" w:cs="Arial"/>
          <w:sz w:val="22"/>
          <w:szCs w:val="22"/>
        </w:rPr>
        <w:t>are</w:t>
      </w:r>
      <w:r w:rsidR="00A856F8" w:rsidRPr="00495094">
        <w:rPr>
          <w:rFonts w:ascii="Arial" w:hAnsi="Arial" w:cs="Arial"/>
          <w:sz w:val="22"/>
          <w:szCs w:val="22"/>
        </w:rPr>
        <w:t xml:space="preserve"> as follows:</w:t>
      </w:r>
    </w:p>
    <w:bookmarkEnd w:id="2"/>
    <w:p w14:paraId="71B7EC4A" w14:textId="77777777" w:rsidR="00A856F8" w:rsidRPr="00495094" w:rsidRDefault="00A856F8" w:rsidP="00A856F8">
      <w:pPr>
        <w:rPr>
          <w:rFonts w:ascii="Arial" w:hAnsi="Arial" w:cs="Arial"/>
          <w:sz w:val="22"/>
          <w:szCs w:val="22"/>
          <w:u w:val="single"/>
        </w:rPr>
      </w:pPr>
    </w:p>
    <w:tbl>
      <w:tblPr>
        <w:tblW w:w="8681" w:type="dxa"/>
        <w:tblLayout w:type="fixed"/>
        <w:tblLook w:val="04A0" w:firstRow="1" w:lastRow="0" w:firstColumn="1" w:lastColumn="0" w:noHBand="0" w:noVBand="1"/>
      </w:tblPr>
      <w:tblGrid>
        <w:gridCol w:w="4068"/>
        <w:gridCol w:w="1460"/>
        <w:gridCol w:w="1418"/>
        <w:gridCol w:w="1735"/>
      </w:tblGrid>
      <w:tr w:rsidR="00495094" w:rsidRPr="00495094" w14:paraId="05A3AA2C" w14:textId="77777777" w:rsidTr="004F4B61">
        <w:trPr>
          <w:trHeight w:val="315"/>
          <w:tblHeader/>
        </w:trPr>
        <w:tc>
          <w:tcPr>
            <w:tcW w:w="4068" w:type="dxa"/>
            <w:tcBorders>
              <w:top w:val="single" w:sz="8" w:space="0" w:color="auto"/>
              <w:left w:val="nil"/>
              <w:bottom w:val="single" w:sz="8" w:space="0" w:color="auto"/>
              <w:right w:val="nil"/>
            </w:tcBorders>
            <w:shd w:val="clear" w:color="auto" w:fill="auto"/>
            <w:noWrap/>
            <w:vAlign w:val="center"/>
            <w:hideMark/>
          </w:tcPr>
          <w:bookmarkEnd w:id="3"/>
          <w:p w14:paraId="7928CCE4" w14:textId="77777777" w:rsidR="00137EB8" w:rsidRPr="00495094" w:rsidRDefault="00137EB8" w:rsidP="00137EB8">
            <w:pPr>
              <w:jc w:val="left"/>
              <w:rPr>
                <w:rFonts w:ascii="Arial" w:hAnsi="Arial" w:cs="Arial"/>
                <w:b/>
                <w:bCs/>
                <w:sz w:val="20"/>
                <w:szCs w:val="20"/>
                <w:lang w:val="en-PH" w:eastAsia="en-PH"/>
              </w:rPr>
            </w:pPr>
            <w:r w:rsidRPr="00495094">
              <w:rPr>
                <w:rFonts w:ascii="Arial" w:hAnsi="Arial" w:cs="Arial"/>
                <w:b/>
                <w:bCs/>
                <w:sz w:val="20"/>
                <w:szCs w:val="20"/>
                <w:lang w:val="en-PH" w:eastAsia="en-PH"/>
              </w:rPr>
              <w:t xml:space="preserve">           Particulars</w:t>
            </w:r>
          </w:p>
        </w:tc>
        <w:tc>
          <w:tcPr>
            <w:tcW w:w="1460" w:type="dxa"/>
            <w:tcBorders>
              <w:top w:val="single" w:sz="8" w:space="0" w:color="auto"/>
              <w:left w:val="nil"/>
              <w:bottom w:val="single" w:sz="8" w:space="0" w:color="auto"/>
              <w:right w:val="nil"/>
            </w:tcBorders>
            <w:shd w:val="clear" w:color="auto" w:fill="auto"/>
            <w:vAlign w:val="center"/>
            <w:hideMark/>
          </w:tcPr>
          <w:p w14:paraId="2D492DA2" w14:textId="77777777" w:rsidR="00137EB8" w:rsidRPr="00495094" w:rsidRDefault="00137EB8" w:rsidP="00137EB8">
            <w:pPr>
              <w:jc w:val="center"/>
              <w:rPr>
                <w:rFonts w:ascii="Arial" w:hAnsi="Arial" w:cs="Arial"/>
                <w:b/>
                <w:bCs/>
                <w:sz w:val="20"/>
                <w:szCs w:val="20"/>
                <w:lang w:val="en-PH" w:eastAsia="en-PH"/>
              </w:rPr>
            </w:pPr>
            <w:r w:rsidRPr="00495094">
              <w:rPr>
                <w:rFonts w:ascii="Arial" w:hAnsi="Arial" w:cs="Arial"/>
                <w:b/>
                <w:bCs/>
                <w:sz w:val="20"/>
                <w:szCs w:val="20"/>
                <w:lang w:val="en-PH" w:eastAsia="en-PH"/>
              </w:rPr>
              <w:t>Debit</w:t>
            </w:r>
          </w:p>
        </w:tc>
        <w:tc>
          <w:tcPr>
            <w:tcW w:w="1418" w:type="dxa"/>
            <w:tcBorders>
              <w:top w:val="single" w:sz="8" w:space="0" w:color="auto"/>
              <w:left w:val="nil"/>
              <w:bottom w:val="single" w:sz="8" w:space="0" w:color="auto"/>
              <w:right w:val="nil"/>
            </w:tcBorders>
            <w:shd w:val="clear" w:color="auto" w:fill="auto"/>
            <w:vAlign w:val="center"/>
            <w:hideMark/>
          </w:tcPr>
          <w:p w14:paraId="6B685B6B" w14:textId="77777777" w:rsidR="00137EB8" w:rsidRPr="00495094" w:rsidRDefault="00137EB8" w:rsidP="00137EB8">
            <w:pPr>
              <w:jc w:val="center"/>
              <w:rPr>
                <w:rFonts w:ascii="Arial" w:hAnsi="Arial" w:cs="Arial"/>
                <w:b/>
                <w:bCs/>
                <w:sz w:val="20"/>
                <w:szCs w:val="20"/>
                <w:lang w:val="en-PH" w:eastAsia="en-PH"/>
              </w:rPr>
            </w:pPr>
            <w:r w:rsidRPr="00495094">
              <w:rPr>
                <w:rFonts w:ascii="Arial" w:hAnsi="Arial" w:cs="Arial"/>
                <w:b/>
                <w:bCs/>
                <w:sz w:val="20"/>
                <w:szCs w:val="20"/>
                <w:lang w:val="en-PH" w:eastAsia="en-PH"/>
              </w:rPr>
              <w:t>Credit</w:t>
            </w:r>
          </w:p>
        </w:tc>
        <w:tc>
          <w:tcPr>
            <w:tcW w:w="1735" w:type="dxa"/>
            <w:tcBorders>
              <w:top w:val="single" w:sz="8" w:space="0" w:color="auto"/>
              <w:left w:val="nil"/>
              <w:bottom w:val="single" w:sz="8" w:space="0" w:color="auto"/>
              <w:right w:val="nil"/>
            </w:tcBorders>
            <w:shd w:val="clear" w:color="auto" w:fill="auto"/>
            <w:vAlign w:val="center"/>
            <w:hideMark/>
          </w:tcPr>
          <w:p w14:paraId="1D880139" w14:textId="77777777" w:rsidR="00137EB8" w:rsidRPr="00495094" w:rsidRDefault="00137EB8" w:rsidP="00137EB8">
            <w:pPr>
              <w:jc w:val="center"/>
              <w:rPr>
                <w:rFonts w:ascii="Arial" w:hAnsi="Arial" w:cs="Arial"/>
                <w:b/>
                <w:bCs/>
                <w:sz w:val="20"/>
                <w:szCs w:val="20"/>
                <w:lang w:val="en-PH" w:eastAsia="en-PH"/>
              </w:rPr>
            </w:pPr>
            <w:r w:rsidRPr="00495094">
              <w:rPr>
                <w:rFonts w:ascii="Arial" w:hAnsi="Arial" w:cs="Arial"/>
                <w:b/>
                <w:bCs/>
                <w:sz w:val="20"/>
                <w:szCs w:val="20"/>
                <w:lang w:val="en-PH" w:eastAsia="en-PH"/>
              </w:rPr>
              <w:t>Balance</w:t>
            </w:r>
          </w:p>
        </w:tc>
      </w:tr>
      <w:tr w:rsidR="00495094" w:rsidRPr="00495094" w14:paraId="21610ABE" w14:textId="77777777" w:rsidTr="004F4B61">
        <w:trPr>
          <w:trHeight w:val="315"/>
        </w:trPr>
        <w:tc>
          <w:tcPr>
            <w:tcW w:w="5528" w:type="dxa"/>
            <w:gridSpan w:val="2"/>
            <w:tcBorders>
              <w:top w:val="single" w:sz="8" w:space="0" w:color="auto"/>
              <w:left w:val="nil"/>
              <w:bottom w:val="single" w:sz="8" w:space="0" w:color="auto"/>
              <w:right w:val="nil"/>
            </w:tcBorders>
            <w:shd w:val="clear" w:color="auto" w:fill="auto"/>
            <w:noWrap/>
            <w:vAlign w:val="center"/>
            <w:hideMark/>
          </w:tcPr>
          <w:p w14:paraId="72C411E1" w14:textId="0B4C759B" w:rsidR="00137EB8" w:rsidRPr="00495094" w:rsidRDefault="00137EB8" w:rsidP="00137EB8">
            <w:pPr>
              <w:jc w:val="left"/>
              <w:rPr>
                <w:rFonts w:ascii="Arial" w:hAnsi="Arial" w:cs="Arial"/>
                <w:sz w:val="20"/>
                <w:szCs w:val="20"/>
                <w:lang w:val="en-PH" w:eastAsia="en-PH"/>
              </w:rPr>
            </w:pPr>
            <w:r w:rsidRPr="00495094">
              <w:rPr>
                <w:rFonts w:ascii="Arial" w:hAnsi="Arial" w:cs="Arial"/>
                <w:sz w:val="20"/>
                <w:szCs w:val="20"/>
                <w:lang w:val="en-PH" w:eastAsia="en-PH"/>
              </w:rPr>
              <w:t xml:space="preserve"> Retained Earnings, as of January 1, 2021</w:t>
            </w:r>
          </w:p>
        </w:tc>
        <w:tc>
          <w:tcPr>
            <w:tcW w:w="1418" w:type="dxa"/>
            <w:tcBorders>
              <w:top w:val="nil"/>
              <w:left w:val="nil"/>
              <w:bottom w:val="single" w:sz="8" w:space="0" w:color="auto"/>
              <w:right w:val="nil"/>
            </w:tcBorders>
            <w:shd w:val="clear" w:color="auto" w:fill="auto"/>
            <w:noWrap/>
            <w:vAlign w:val="center"/>
            <w:hideMark/>
          </w:tcPr>
          <w:p w14:paraId="66EED1E8" w14:textId="4969242F" w:rsidR="00137EB8" w:rsidRPr="00495094" w:rsidRDefault="00137EB8" w:rsidP="005F4B39">
            <w:pPr>
              <w:jc w:val="center"/>
              <w:rPr>
                <w:rFonts w:ascii="Arial" w:hAnsi="Arial" w:cs="Arial"/>
                <w:sz w:val="20"/>
                <w:szCs w:val="20"/>
                <w:lang w:val="en-PH" w:eastAsia="en-PH"/>
              </w:rPr>
            </w:pPr>
          </w:p>
        </w:tc>
        <w:tc>
          <w:tcPr>
            <w:tcW w:w="1735" w:type="dxa"/>
            <w:tcBorders>
              <w:top w:val="nil"/>
              <w:left w:val="nil"/>
              <w:bottom w:val="single" w:sz="8" w:space="0" w:color="auto"/>
              <w:right w:val="nil"/>
            </w:tcBorders>
            <w:shd w:val="clear" w:color="auto" w:fill="auto"/>
            <w:vAlign w:val="center"/>
            <w:hideMark/>
          </w:tcPr>
          <w:p w14:paraId="72F7A425" w14:textId="52C9E9AF" w:rsidR="00137EB8" w:rsidRPr="00495094" w:rsidRDefault="00137EB8" w:rsidP="00106C3A">
            <w:pPr>
              <w:jc w:val="center"/>
              <w:rPr>
                <w:rFonts w:ascii="Arial" w:hAnsi="Arial" w:cs="Arial"/>
                <w:sz w:val="20"/>
                <w:szCs w:val="20"/>
                <w:lang w:val="en-PH" w:eastAsia="en-PH"/>
              </w:rPr>
            </w:pPr>
            <w:r w:rsidRPr="00495094">
              <w:rPr>
                <w:rFonts w:ascii="Arial" w:hAnsi="Arial" w:cs="Arial"/>
                <w:sz w:val="20"/>
                <w:szCs w:val="20"/>
                <w:lang w:val="en-PH" w:eastAsia="en-PH"/>
              </w:rPr>
              <w:t>(1,286,986,76</w:t>
            </w:r>
            <w:r w:rsidR="00106C3A" w:rsidRPr="00495094">
              <w:rPr>
                <w:rFonts w:ascii="Arial" w:hAnsi="Arial" w:cs="Arial"/>
                <w:sz w:val="20"/>
                <w:szCs w:val="20"/>
                <w:lang w:val="en-PH" w:eastAsia="en-PH"/>
              </w:rPr>
              <w:t>9</w:t>
            </w:r>
            <w:r w:rsidRPr="00495094">
              <w:rPr>
                <w:rFonts w:ascii="Arial" w:hAnsi="Arial" w:cs="Arial"/>
                <w:sz w:val="20"/>
                <w:szCs w:val="20"/>
                <w:lang w:val="en-PH" w:eastAsia="en-PH"/>
              </w:rPr>
              <w:t>)</w:t>
            </w:r>
          </w:p>
        </w:tc>
      </w:tr>
      <w:tr w:rsidR="00495094" w:rsidRPr="00495094" w14:paraId="173681DD" w14:textId="77777777" w:rsidTr="004F4B61">
        <w:trPr>
          <w:trHeight w:val="300"/>
        </w:trPr>
        <w:tc>
          <w:tcPr>
            <w:tcW w:w="4068" w:type="dxa"/>
            <w:tcBorders>
              <w:top w:val="nil"/>
              <w:left w:val="nil"/>
              <w:bottom w:val="nil"/>
              <w:right w:val="nil"/>
            </w:tcBorders>
            <w:shd w:val="clear" w:color="auto" w:fill="auto"/>
            <w:noWrap/>
            <w:vAlign w:val="center"/>
            <w:hideMark/>
          </w:tcPr>
          <w:p w14:paraId="22E5D2B2" w14:textId="2FB67B18"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Net loss for CY 2021 before restatement </w:t>
            </w:r>
          </w:p>
        </w:tc>
        <w:tc>
          <w:tcPr>
            <w:tcW w:w="1460" w:type="dxa"/>
            <w:tcBorders>
              <w:top w:val="nil"/>
              <w:left w:val="nil"/>
              <w:bottom w:val="nil"/>
              <w:right w:val="nil"/>
            </w:tcBorders>
            <w:shd w:val="clear" w:color="auto" w:fill="auto"/>
            <w:noWrap/>
            <w:vAlign w:val="bottom"/>
            <w:hideMark/>
          </w:tcPr>
          <w:p w14:paraId="65D0CEED" w14:textId="77777777" w:rsidR="00137EB8" w:rsidRPr="00495094" w:rsidRDefault="00137EB8" w:rsidP="00137EB8">
            <w:pPr>
              <w:jc w:val="left"/>
              <w:rPr>
                <w:rFonts w:ascii="Arial" w:hAnsi="Arial" w:cs="Arial"/>
                <w:sz w:val="20"/>
                <w:szCs w:val="20"/>
                <w:lang w:val="en-PH" w:eastAsia="en-PH"/>
              </w:rPr>
            </w:pPr>
          </w:p>
        </w:tc>
        <w:tc>
          <w:tcPr>
            <w:tcW w:w="1418" w:type="dxa"/>
            <w:tcBorders>
              <w:top w:val="nil"/>
              <w:left w:val="nil"/>
              <w:bottom w:val="nil"/>
              <w:right w:val="nil"/>
            </w:tcBorders>
            <w:shd w:val="clear" w:color="auto" w:fill="auto"/>
            <w:noWrap/>
            <w:vAlign w:val="bottom"/>
            <w:hideMark/>
          </w:tcPr>
          <w:p w14:paraId="169F5941" w14:textId="77777777" w:rsidR="00137EB8" w:rsidRPr="00495094" w:rsidRDefault="00137EB8" w:rsidP="005F4B39">
            <w:pPr>
              <w:jc w:val="center"/>
              <w:rPr>
                <w:rFonts w:ascii="Arial" w:hAnsi="Arial" w:cs="Arial"/>
                <w:sz w:val="20"/>
                <w:szCs w:val="20"/>
                <w:lang w:val="en-PH" w:eastAsia="en-PH"/>
              </w:rPr>
            </w:pPr>
          </w:p>
        </w:tc>
        <w:tc>
          <w:tcPr>
            <w:tcW w:w="1735" w:type="dxa"/>
            <w:tcBorders>
              <w:top w:val="nil"/>
              <w:left w:val="nil"/>
              <w:bottom w:val="nil"/>
              <w:right w:val="nil"/>
            </w:tcBorders>
            <w:shd w:val="clear" w:color="auto" w:fill="auto"/>
            <w:vAlign w:val="center"/>
            <w:hideMark/>
          </w:tcPr>
          <w:p w14:paraId="7A2FCF74" w14:textId="79A81709" w:rsidR="00137EB8" w:rsidRPr="00495094" w:rsidRDefault="00B512E4" w:rsidP="005F4B39">
            <w:pPr>
              <w:jc w:val="center"/>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(123,903,032)</w:t>
            </w:r>
          </w:p>
        </w:tc>
      </w:tr>
      <w:tr w:rsidR="00495094" w:rsidRPr="00495094" w14:paraId="4925C6A2" w14:textId="77777777" w:rsidTr="004F4B61">
        <w:trPr>
          <w:trHeight w:val="300"/>
        </w:trPr>
        <w:tc>
          <w:tcPr>
            <w:tcW w:w="4068" w:type="dxa"/>
            <w:tcBorders>
              <w:top w:val="nil"/>
              <w:left w:val="nil"/>
              <w:bottom w:val="nil"/>
              <w:right w:val="nil"/>
            </w:tcBorders>
            <w:shd w:val="clear" w:color="auto" w:fill="auto"/>
            <w:noWrap/>
            <w:vAlign w:val="center"/>
            <w:hideMark/>
          </w:tcPr>
          <w:p w14:paraId="2120C458" w14:textId="664CE9E9"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Adjustments: </w:t>
            </w:r>
          </w:p>
        </w:tc>
        <w:tc>
          <w:tcPr>
            <w:tcW w:w="1460" w:type="dxa"/>
            <w:tcBorders>
              <w:top w:val="nil"/>
              <w:left w:val="nil"/>
              <w:bottom w:val="nil"/>
              <w:right w:val="nil"/>
            </w:tcBorders>
            <w:shd w:val="clear" w:color="auto" w:fill="auto"/>
            <w:noWrap/>
            <w:vAlign w:val="center"/>
            <w:hideMark/>
          </w:tcPr>
          <w:p w14:paraId="01191B45" w14:textId="77777777" w:rsidR="00137EB8" w:rsidRPr="00495094" w:rsidRDefault="00137EB8" w:rsidP="00137EB8">
            <w:pPr>
              <w:jc w:val="left"/>
              <w:rPr>
                <w:rFonts w:ascii="Arial" w:hAnsi="Arial" w:cs="Arial"/>
                <w:sz w:val="20"/>
                <w:szCs w:val="20"/>
                <w:lang w:val="en-PH" w:eastAsia="en-PH"/>
              </w:rPr>
            </w:pPr>
          </w:p>
        </w:tc>
        <w:tc>
          <w:tcPr>
            <w:tcW w:w="1418" w:type="dxa"/>
            <w:tcBorders>
              <w:top w:val="nil"/>
              <w:left w:val="nil"/>
              <w:bottom w:val="nil"/>
              <w:right w:val="nil"/>
            </w:tcBorders>
            <w:shd w:val="clear" w:color="auto" w:fill="auto"/>
            <w:vAlign w:val="center"/>
            <w:hideMark/>
          </w:tcPr>
          <w:p w14:paraId="3B37DB7E" w14:textId="77777777" w:rsidR="00137EB8" w:rsidRPr="00495094" w:rsidRDefault="00137EB8" w:rsidP="005F4B39">
            <w:pPr>
              <w:jc w:val="center"/>
              <w:rPr>
                <w:rFonts w:ascii="Arial" w:hAnsi="Arial" w:cs="Arial"/>
                <w:sz w:val="20"/>
                <w:szCs w:val="20"/>
                <w:lang w:val="en-PH" w:eastAsia="en-PH"/>
              </w:rPr>
            </w:pPr>
          </w:p>
        </w:tc>
        <w:tc>
          <w:tcPr>
            <w:tcW w:w="1735" w:type="dxa"/>
            <w:tcBorders>
              <w:top w:val="nil"/>
              <w:left w:val="nil"/>
              <w:bottom w:val="nil"/>
              <w:right w:val="nil"/>
            </w:tcBorders>
            <w:shd w:val="clear" w:color="auto" w:fill="auto"/>
            <w:vAlign w:val="center"/>
            <w:hideMark/>
          </w:tcPr>
          <w:p w14:paraId="68EC37CE" w14:textId="77777777" w:rsidR="00137EB8" w:rsidRPr="00495094" w:rsidRDefault="00137EB8" w:rsidP="005F4B39">
            <w:pPr>
              <w:jc w:val="center"/>
              <w:rPr>
                <w:rFonts w:ascii="Arial" w:hAnsi="Arial" w:cs="Arial"/>
                <w:sz w:val="20"/>
                <w:szCs w:val="20"/>
                <w:lang w:val="en-PH" w:eastAsia="en-PH"/>
              </w:rPr>
            </w:pPr>
          </w:p>
        </w:tc>
      </w:tr>
      <w:tr w:rsidR="00495094" w:rsidRPr="00495094" w14:paraId="5EDC777E" w14:textId="77777777" w:rsidTr="004F4B61">
        <w:trPr>
          <w:trHeight w:val="315"/>
        </w:trPr>
        <w:tc>
          <w:tcPr>
            <w:tcW w:w="4068" w:type="dxa"/>
            <w:tcBorders>
              <w:top w:val="nil"/>
              <w:left w:val="nil"/>
              <w:bottom w:val="nil"/>
              <w:right w:val="nil"/>
            </w:tcBorders>
            <w:shd w:val="clear" w:color="auto" w:fill="auto"/>
            <w:noWrap/>
            <w:vAlign w:val="center"/>
            <w:hideMark/>
          </w:tcPr>
          <w:p w14:paraId="494204CD" w14:textId="085CAC5C"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Rent Income </w:t>
            </w:r>
          </w:p>
        </w:tc>
        <w:tc>
          <w:tcPr>
            <w:tcW w:w="1460" w:type="dxa"/>
            <w:tcBorders>
              <w:top w:val="nil"/>
              <w:left w:val="nil"/>
              <w:bottom w:val="nil"/>
              <w:right w:val="nil"/>
            </w:tcBorders>
            <w:shd w:val="clear" w:color="auto" w:fill="auto"/>
            <w:noWrap/>
            <w:vAlign w:val="bottom"/>
            <w:hideMark/>
          </w:tcPr>
          <w:p w14:paraId="04BEFF0C" w14:textId="2716B9D7"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418" w:type="dxa"/>
            <w:tcBorders>
              <w:top w:val="nil"/>
              <w:left w:val="nil"/>
              <w:bottom w:val="nil"/>
              <w:right w:val="nil"/>
            </w:tcBorders>
            <w:shd w:val="clear" w:color="auto" w:fill="auto"/>
            <w:noWrap/>
            <w:vAlign w:val="bottom"/>
            <w:hideMark/>
          </w:tcPr>
          <w:p w14:paraId="2E4B2948" w14:textId="14D2E4EE" w:rsidR="00137EB8" w:rsidRPr="00495094" w:rsidRDefault="00137EB8" w:rsidP="003315ED">
            <w:pPr>
              <w:jc w:val="right"/>
              <w:rPr>
                <w:rFonts w:ascii="Arial" w:hAnsi="Arial" w:cs="Arial"/>
                <w:sz w:val="20"/>
                <w:szCs w:val="20"/>
                <w:lang w:val="en-PH" w:eastAsia="en-PH"/>
              </w:rPr>
            </w:pPr>
            <w:r w:rsidRPr="00495094">
              <w:rPr>
                <w:rFonts w:ascii="Arial" w:hAnsi="Arial" w:cs="Arial"/>
                <w:sz w:val="20"/>
                <w:szCs w:val="20"/>
                <w:lang w:val="en-PH" w:eastAsia="en-PH"/>
              </w:rPr>
              <w:t>1,275,740</w:t>
            </w:r>
          </w:p>
        </w:tc>
        <w:tc>
          <w:tcPr>
            <w:tcW w:w="1735" w:type="dxa"/>
            <w:tcBorders>
              <w:top w:val="nil"/>
              <w:left w:val="nil"/>
              <w:bottom w:val="nil"/>
              <w:right w:val="nil"/>
            </w:tcBorders>
            <w:shd w:val="clear" w:color="auto" w:fill="auto"/>
            <w:vAlign w:val="center"/>
            <w:hideMark/>
          </w:tcPr>
          <w:p w14:paraId="147B724C" w14:textId="77777777" w:rsidR="00137EB8" w:rsidRPr="00495094" w:rsidRDefault="00137EB8" w:rsidP="005F4B39">
            <w:pPr>
              <w:jc w:val="center"/>
              <w:rPr>
                <w:rFonts w:ascii="Arial" w:hAnsi="Arial" w:cs="Arial"/>
                <w:sz w:val="20"/>
                <w:szCs w:val="20"/>
                <w:lang w:val="en-PH" w:eastAsia="en-PH"/>
              </w:rPr>
            </w:pPr>
          </w:p>
        </w:tc>
      </w:tr>
      <w:tr w:rsidR="00495094" w:rsidRPr="00495094" w14:paraId="3E1E2A59" w14:textId="77777777" w:rsidTr="004F4B61">
        <w:trPr>
          <w:trHeight w:val="315"/>
        </w:trPr>
        <w:tc>
          <w:tcPr>
            <w:tcW w:w="4068" w:type="dxa"/>
            <w:tcBorders>
              <w:top w:val="nil"/>
              <w:left w:val="nil"/>
              <w:bottom w:val="nil"/>
              <w:right w:val="nil"/>
            </w:tcBorders>
            <w:shd w:val="clear" w:color="auto" w:fill="auto"/>
            <w:noWrap/>
            <w:vAlign w:val="center"/>
            <w:hideMark/>
          </w:tcPr>
          <w:p w14:paraId="4AE10B38" w14:textId="2F7DD2A3"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Correction on amortization of Intangible Assets </w:t>
            </w:r>
          </w:p>
        </w:tc>
        <w:tc>
          <w:tcPr>
            <w:tcW w:w="1460" w:type="dxa"/>
            <w:tcBorders>
              <w:top w:val="nil"/>
              <w:left w:val="nil"/>
              <w:bottom w:val="nil"/>
              <w:right w:val="nil"/>
            </w:tcBorders>
            <w:shd w:val="clear" w:color="auto" w:fill="auto"/>
            <w:noWrap/>
            <w:vAlign w:val="bottom"/>
            <w:hideMark/>
          </w:tcPr>
          <w:p w14:paraId="36783325" w14:textId="2DE429B9"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418" w:type="dxa"/>
            <w:tcBorders>
              <w:top w:val="nil"/>
              <w:left w:val="nil"/>
              <w:bottom w:val="nil"/>
              <w:right w:val="nil"/>
            </w:tcBorders>
            <w:shd w:val="clear" w:color="auto" w:fill="auto"/>
            <w:noWrap/>
            <w:vAlign w:val="bottom"/>
            <w:hideMark/>
          </w:tcPr>
          <w:p w14:paraId="3C4ED714" w14:textId="025C1438"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333</w:t>
            </w:r>
          </w:p>
        </w:tc>
        <w:tc>
          <w:tcPr>
            <w:tcW w:w="1735" w:type="dxa"/>
            <w:tcBorders>
              <w:top w:val="nil"/>
              <w:left w:val="nil"/>
              <w:bottom w:val="nil"/>
              <w:right w:val="nil"/>
            </w:tcBorders>
            <w:shd w:val="clear" w:color="auto" w:fill="auto"/>
            <w:vAlign w:val="center"/>
            <w:hideMark/>
          </w:tcPr>
          <w:p w14:paraId="379DDC6E" w14:textId="77777777" w:rsidR="00137EB8" w:rsidRPr="00495094" w:rsidRDefault="00137EB8" w:rsidP="005F4B39">
            <w:pPr>
              <w:jc w:val="center"/>
              <w:rPr>
                <w:rFonts w:ascii="Arial" w:hAnsi="Arial" w:cs="Arial"/>
                <w:sz w:val="20"/>
                <w:szCs w:val="20"/>
                <w:lang w:val="en-PH" w:eastAsia="en-PH"/>
              </w:rPr>
            </w:pPr>
          </w:p>
        </w:tc>
      </w:tr>
      <w:tr w:rsidR="00495094" w:rsidRPr="00495094" w14:paraId="58FF9E39" w14:textId="77777777" w:rsidTr="004F4B61">
        <w:trPr>
          <w:trHeight w:val="315"/>
        </w:trPr>
        <w:tc>
          <w:tcPr>
            <w:tcW w:w="4068" w:type="dxa"/>
            <w:tcBorders>
              <w:top w:val="nil"/>
              <w:left w:val="nil"/>
              <w:bottom w:val="nil"/>
              <w:right w:val="nil"/>
            </w:tcBorders>
            <w:shd w:val="clear" w:color="auto" w:fill="auto"/>
            <w:noWrap/>
            <w:vAlign w:val="center"/>
            <w:hideMark/>
          </w:tcPr>
          <w:p w14:paraId="264B6FA0" w14:textId="7B3B324A"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Gross receipts tax </w:t>
            </w:r>
          </w:p>
        </w:tc>
        <w:tc>
          <w:tcPr>
            <w:tcW w:w="1460" w:type="dxa"/>
            <w:tcBorders>
              <w:top w:val="nil"/>
              <w:left w:val="nil"/>
              <w:bottom w:val="nil"/>
              <w:right w:val="nil"/>
            </w:tcBorders>
            <w:shd w:val="clear" w:color="auto" w:fill="auto"/>
            <w:noWrap/>
            <w:vAlign w:val="bottom"/>
            <w:hideMark/>
          </w:tcPr>
          <w:p w14:paraId="3706180E" w14:textId="64166EAC"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187,627</w:t>
            </w:r>
          </w:p>
        </w:tc>
        <w:tc>
          <w:tcPr>
            <w:tcW w:w="1418" w:type="dxa"/>
            <w:tcBorders>
              <w:top w:val="nil"/>
              <w:left w:val="nil"/>
              <w:bottom w:val="nil"/>
              <w:right w:val="nil"/>
            </w:tcBorders>
            <w:shd w:val="clear" w:color="auto" w:fill="auto"/>
            <w:noWrap/>
            <w:vAlign w:val="bottom"/>
            <w:hideMark/>
          </w:tcPr>
          <w:p w14:paraId="7FD59D22" w14:textId="25217606"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40FA2F91" w14:textId="77777777" w:rsidR="00137EB8" w:rsidRPr="00495094" w:rsidRDefault="00137EB8" w:rsidP="005F4B39">
            <w:pPr>
              <w:jc w:val="center"/>
              <w:rPr>
                <w:rFonts w:ascii="Arial" w:hAnsi="Arial" w:cs="Arial"/>
                <w:sz w:val="20"/>
                <w:szCs w:val="20"/>
                <w:lang w:val="en-PH" w:eastAsia="en-PH"/>
              </w:rPr>
            </w:pPr>
          </w:p>
        </w:tc>
      </w:tr>
      <w:tr w:rsidR="00495094" w:rsidRPr="00495094" w14:paraId="4F3E91E2" w14:textId="77777777" w:rsidTr="004F4B61">
        <w:trPr>
          <w:trHeight w:val="315"/>
        </w:trPr>
        <w:tc>
          <w:tcPr>
            <w:tcW w:w="4068" w:type="dxa"/>
            <w:tcBorders>
              <w:top w:val="nil"/>
              <w:left w:val="nil"/>
              <w:bottom w:val="nil"/>
              <w:right w:val="nil"/>
            </w:tcBorders>
            <w:shd w:val="clear" w:color="auto" w:fill="auto"/>
            <w:noWrap/>
            <w:vAlign w:val="center"/>
            <w:hideMark/>
          </w:tcPr>
          <w:p w14:paraId="6165D4A9" w14:textId="52F3242A"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Additional cost of seconded personnel services </w:t>
            </w:r>
          </w:p>
        </w:tc>
        <w:tc>
          <w:tcPr>
            <w:tcW w:w="1460" w:type="dxa"/>
            <w:tcBorders>
              <w:top w:val="nil"/>
              <w:left w:val="nil"/>
              <w:bottom w:val="nil"/>
              <w:right w:val="nil"/>
            </w:tcBorders>
            <w:shd w:val="clear" w:color="auto" w:fill="auto"/>
            <w:noWrap/>
            <w:vAlign w:val="bottom"/>
            <w:hideMark/>
          </w:tcPr>
          <w:p w14:paraId="1A9C3D13" w14:textId="1466A6F3" w:rsidR="00137EB8" w:rsidRPr="00495094" w:rsidRDefault="00137EB8" w:rsidP="003315ED">
            <w:pPr>
              <w:jc w:val="right"/>
              <w:rPr>
                <w:rFonts w:ascii="Arial" w:hAnsi="Arial" w:cs="Arial"/>
                <w:sz w:val="20"/>
                <w:szCs w:val="20"/>
                <w:lang w:val="en-PH" w:eastAsia="en-PH"/>
              </w:rPr>
            </w:pPr>
            <w:r w:rsidRPr="00495094">
              <w:rPr>
                <w:rFonts w:ascii="Arial" w:hAnsi="Arial" w:cs="Arial"/>
                <w:sz w:val="20"/>
                <w:szCs w:val="20"/>
                <w:lang w:val="en-PH" w:eastAsia="en-PH"/>
              </w:rPr>
              <w:t>3,699,236</w:t>
            </w:r>
          </w:p>
        </w:tc>
        <w:tc>
          <w:tcPr>
            <w:tcW w:w="1418" w:type="dxa"/>
            <w:tcBorders>
              <w:top w:val="nil"/>
              <w:left w:val="nil"/>
              <w:bottom w:val="nil"/>
              <w:right w:val="nil"/>
            </w:tcBorders>
            <w:shd w:val="clear" w:color="auto" w:fill="auto"/>
            <w:noWrap/>
            <w:vAlign w:val="bottom"/>
            <w:hideMark/>
          </w:tcPr>
          <w:p w14:paraId="76DFC808" w14:textId="0FB99987"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0209DBB6" w14:textId="77777777" w:rsidR="00137EB8" w:rsidRPr="00495094" w:rsidRDefault="00137EB8" w:rsidP="005F4B39">
            <w:pPr>
              <w:jc w:val="center"/>
              <w:rPr>
                <w:rFonts w:ascii="Arial" w:hAnsi="Arial" w:cs="Arial"/>
                <w:sz w:val="20"/>
                <w:szCs w:val="20"/>
                <w:lang w:val="en-PH" w:eastAsia="en-PH"/>
              </w:rPr>
            </w:pPr>
          </w:p>
        </w:tc>
      </w:tr>
      <w:tr w:rsidR="00495094" w:rsidRPr="00495094" w14:paraId="1BECA060" w14:textId="77777777" w:rsidTr="004F4B61">
        <w:trPr>
          <w:trHeight w:val="300"/>
        </w:trPr>
        <w:tc>
          <w:tcPr>
            <w:tcW w:w="4068" w:type="dxa"/>
            <w:tcBorders>
              <w:top w:val="nil"/>
              <w:left w:val="nil"/>
              <w:bottom w:val="nil"/>
              <w:right w:val="nil"/>
            </w:tcBorders>
            <w:shd w:val="clear" w:color="auto" w:fill="auto"/>
            <w:noWrap/>
            <w:vAlign w:val="center"/>
            <w:hideMark/>
          </w:tcPr>
          <w:p w14:paraId="2E6F70DC" w14:textId="2E5EC530"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Cost of Cha</w:t>
            </w:r>
            <w:r w:rsidR="005F4B39" w:rsidRPr="00495094">
              <w:rPr>
                <w:rFonts w:ascii="Arial" w:hAnsi="Arial" w:cs="Arial"/>
                <w:sz w:val="20"/>
                <w:szCs w:val="20"/>
                <w:lang w:val="en-PH" w:eastAsia="en-PH"/>
              </w:rPr>
              <w:t>u</w:t>
            </w:r>
            <w:r w:rsidRPr="00495094">
              <w:rPr>
                <w:rFonts w:ascii="Arial" w:hAnsi="Arial" w:cs="Arial"/>
                <w:sz w:val="20"/>
                <w:szCs w:val="20"/>
                <w:lang w:val="en-PH" w:eastAsia="en-PH"/>
              </w:rPr>
              <w:t xml:space="preserve">ffeuring services  </w:t>
            </w:r>
          </w:p>
        </w:tc>
        <w:tc>
          <w:tcPr>
            <w:tcW w:w="1460" w:type="dxa"/>
            <w:tcBorders>
              <w:top w:val="nil"/>
              <w:left w:val="nil"/>
              <w:bottom w:val="nil"/>
              <w:right w:val="nil"/>
            </w:tcBorders>
            <w:shd w:val="clear" w:color="auto" w:fill="auto"/>
            <w:noWrap/>
            <w:vAlign w:val="bottom"/>
            <w:hideMark/>
          </w:tcPr>
          <w:p w14:paraId="044965AB" w14:textId="5DE5A8A9"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738,713</w:t>
            </w:r>
          </w:p>
        </w:tc>
        <w:tc>
          <w:tcPr>
            <w:tcW w:w="1418" w:type="dxa"/>
            <w:tcBorders>
              <w:top w:val="nil"/>
              <w:left w:val="nil"/>
              <w:bottom w:val="nil"/>
              <w:right w:val="nil"/>
            </w:tcBorders>
            <w:shd w:val="clear" w:color="auto" w:fill="auto"/>
            <w:noWrap/>
            <w:vAlign w:val="bottom"/>
            <w:hideMark/>
          </w:tcPr>
          <w:p w14:paraId="0ECDF803" w14:textId="5E437F3F"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0EB048FC" w14:textId="77777777" w:rsidR="00137EB8" w:rsidRPr="00495094" w:rsidRDefault="00137EB8" w:rsidP="005F4B39">
            <w:pPr>
              <w:jc w:val="center"/>
              <w:rPr>
                <w:rFonts w:ascii="Arial" w:hAnsi="Arial" w:cs="Arial"/>
                <w:sz w:val="20"/>
                <w:szCs w:val="20"/>
                <w:lang w:val="en-PH" w:eastAsia="en-PH"/>
              </w:rPr>
            </w:pPr>
          </w:p>
        </w:tc>
      </w:tr>
      <w:tr w:rsidR="00495094" w:rsidRPr="00495094" w14:paraId="2F7E099E" w14:textId="77777777" w:rsidTr="004F4B61">
        <w:trPr>
          <w:trHeight w:val="300"/>
        </w:trPr>
        <w:tc>
          <w:tcPr>
            <w:tcW w:w="4068" w:type="dxa"/>
            <w:tcBorders>
              <w:top w:val="nil"/>
              <w:left w:val="nil"/>
              <w:bottom w:val="nil"/>
              <w:right w:val="nil"/>
            </w:tcBorders>
            <w:shd w:val="clear" w:color="auto" w:fill="auto"/>
            <w:noWrap/>
            <w:vAlign w:val="center"/>
            <w:hideMark/>
          </w:tcPr>
          <w:p w14:paraId="5FD13886" w14:textId="04BF941D"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Fees and commissions-switch fee </w:t>
            </w:r>
          </w:p>
        </w:tc>
        <w:tc>
          <w:tcPr>
            <w:tcW w:w="1460" w:type="dxa"/>
            <w:tcBorders>
              <w:top w:val="nil"/>
              <w:left w:val="nil"/>
              <w:bottom w:val="nil"/>
              <w:right w:val="nil"/>
            </w:tcBorders>
            <w:shd w:val="clear" w:color="auto" w:fill="auto"/>
            <w:noWrap/>
            <w:vAlign w:val="bottom"/>
            <w:hideMark/>
          </w:tcPr>
          <w:p w14:paraId="7872489D" w14:textId="01CBF52A"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465,854</w:t>
            </w:r>
          </w:p>
        </w:tc>
        <w:tc>
          <w:tcPr>
            <w:tcW w:w="1418" w:type="dxa"/>
            <w:tcBorders>
              <w:top w:val="nil"/>
              <w:left w:val="nil"/>
              <w:bottom w:val="nil"/>
              <w:right w:val="nil"/>
            </w:tcBorders>
            <w:shd w:val="clear" w:color="auto" w:fill="auto"/>
            <w:noWrap/>
            <w:vAlign w:val="bottom"/>
            <w:hideMark/>
          </w:tcPr>
          <w:p w14:paraId="5358AA5E" w14:textId="5E757E5C"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0B8CB164" w14:textId="77777777" w:rsidR="00137EB8" w:rsidRPr="00495094" w:rsidRDefault="00137EB8" w:rsidP="005F4B39">
            <w:pPr>
              <w:jc w:val="center"/>
              <w:rPr>
                <w:rFonts w:ascii="Arial" w:hAnsi="Arial" w:cs="Arial"/>
                <w:sz w:val="20"/>
                <w:szCs w:val="20"/>
                <w:lang w:val="en-PH" w:eastAsia="en-PH"/>
              </w:rPr>
            </w:pPr>
          </w:p>
        </w:tc>
      </w:tr>
      <w:tr w:rsidR="00495094" w:rsidRPr="00495094" w14:paraId="58FBD8A9" w14:textId="77777777" w:rsidTr="004F4B61">
        <w:trPr>
          <w:trHeight w:val="300"/>
        </w:trPr>
        <w:tc>
          <w:tcPr>
            <w:tcW w:w="4068" w:type="dxa"/>
            <w:tcBorders>
              <w:top w:val="nil"/>
              <w:left w:val="nil"/>
              <w:bottom w:val="nil"/>
              <w:right w:val="nil"/>
            </w:tcBorders>
            <w:shd w:val="clear" w:color="auto" w:fill="auto"/>
            <w:noWrap/>
            <w:vAlign w:val="center"/>
            <w:hideMark/>
          </w:tcPr>
          <w:p w14:paraId="1143C665" w14:textId="1AAF9A38"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Stationeries and supplies  </w:t>
            </w:r>
          </w:p>
        </w:tc>
        <w:tc>
          <w:tcPr>
            <w:tcW w:w="1460" w:type="dxa"/>
            <w:tcBorders>
              <w:top w:val="nil"/>
              <w:left w:val="nil"/>
              <w:bottom w:val="nil"/>
              <w:right w:val="nil"/>
            </w:tcBorders>
            <w:shd w:val="clear" w:color="auto" w:fill="auto"/>
            <w:noWrap/>
            <w:vAlign w:val="bottom"/>
            <w:hideMark/>
          </w:tcPr>
          <w:p w14:paraId="701EDBEB" w14:textId="2EFAFF37" w:rsidR="00137EB8" w:rsidRPr="00495094" w:rsidRDefault="00137EB8" w:rsidP="003315ED">
            <w:pPr>
              <w:jc w:val="right"/>
              <w:rPr>
                <w:rFonts w:ascii="Arial" w:hAnsi="Arial" w:cs="Arial"/>
                <w:sz w:val="20"/>
                <w:szCs w:val="20"/>
                <w:lang w:val="en-PH" w:eastAsia="en-PH"/>
              </w:rPr>
            </w:pPr>
            <w:r w:rsidRPr="00495094">
              <w:rPr>
                <w:rFonts w:ascii="Arial" w:hAnsi="Arial" w:cs="Arial"/>
                <w:sz w:val="20"/>
                <w:szCs w:val="20"/>
                <w:lang w:val="en-PH" w:eastAsia="en-PH"/>
              </w:rPr>
              <w:t>2,793,274</w:t>
            </w:r>
          </w:p>
        </w:tc>
        <w:tc>
          <w:tcPr>
            <w:tcW w:w="1418" w:type="dxa"/>
            <w:tcBorders>
              <w:top w:val="nil"/>
              <w:left w:val="nil"/>
              <w:bottom w:val="nil"/>
              <w:right w:val="nil"/>
            </w:tcBorders>
            <w:shd w:val="clear" w:color="auto" w:fill="auto"/>
            <w:noWrap/>
            <w:vAlign w:val="bottom"/>
            <w:hideMark/>
          </w:tcPr>
          <w:p w14:paraId="6AE7AE4B" w14:textId="0494F835"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42,273</w:t>
            </w:r>
          </w:p>
        </w:tc>
        <w:tc>
          <w:tcPr>
            <w:tcW w:w="1735" w:type="dxa"/>
            <w:tcBorders>
              <w:top w:val="nil"/>
              <w:left w:val="nil"/>
              <w:bottom w:val="nil"/>
              <w:right w:val="nil"/>
            </w:tcBorders>
            <w:shd w:val="clear" w:color="auto" w:fill="auto"/>
            <w:vAlign w:val="center"/>
            <w:hideMark/>
          </w:tcPr>
          <w:p w14:paraId="5516710D" w14:textId="77777777" w:rsidR="00137EB8" w:rsidRPr="00495094" w:rsidRDefault="00137EB8" w:rsidP="005F4B39">
            <w:pPr>
              <w:jc w:val="center"/>
              <w:rPr>
                <w:rFonts w:ascii="Arial" w:hAnsi="Arial" w:cs="Arial"/>
                <w:sz w:val="20"/>
                <w:szCs w:val="20"/>
                <w:lang w:val="en-PH" w:eastAsia="en-PH"/>
              </w:rPr>
            </w:pPr>
          </w:p>
        </w:tc>
      </w:tr>
      <w:tr w:rsidR="00495094" w:rsidRPr="00495094" w14:paraId="3D5EFC71" w14:textId="77777777" w:rsidTr="004F4B61">
        <w:trPr>
          <w:trHeight w:val="300"/>
        </w:trPr>
        <w:tc>
          <w:tcPr>
            <w:tcW w:w="4068" w:type="dxa"/>
            <w:tcBorders>
              <w:top w:val="nil"/>
              <w:left w:val="nil"/>
              <w:bottom w:val="nil"/>
              <w:right w:val="nil"/>
            </w:tcBorders>
            <w:shd w:val="clear" w:color="auto" w:fill="auto"/>
            <w:noWrap/>
            <w:vAlign w:val="center"/>
            <w:hideMark/>
          </w:tcPr>
          <w:p w14:paraId="50B3BC89" w14:textId="77777777" w:rsidR="00137EB8" w:rsidRPr="00495094" w:rsidRDefault="00137EB8" w:rsidP="00B62C67">
            <w:pPr>
              <w:jc w:val="left"/>
              <w:rPr>
                <w:rFonts w:ascii="Arial" w:hAnsi="Arial" w:cs="Arial"/>
                <w:sz w:val="20"/>
                <w:szCs w:val="20"/>
                <w:lang w:val="en-PH" w:eastAsia="en-PH"/>
              </w:rPr>
            </w:pPr>
            <w:r w:rsidRPr="00495094">
              <w:rPr>
                <w:rFonts w:ascii="Arial" w:hAnsi="Arial" w:cs="Arial"/>
                <w:sz w:val="20"/>
                <w:szCs w:val="20"/>
                <w:lang w:val="en-PH" w:eastAsia="en-PH"/>
              </w:rPr>
              <w:t xml:space="preserve"> Communication expenses </w:t>
            </w:r>
          </w:p>
        </w:tc>
        <w:tc>
          <w:tcPr>
            <w:tcW w:w="1460" w:type="dxa"/>
            <w:tcBorders>
              <w:top w:val="nil"/>
              <w:left w:val="nil"/>
              <w:bottom w:val="nil"/>
              <w:right w:val="nil"/>
            </w:tcBorders>
            <w:shd w:val="clear" w:color="auto" w:fill="auto"/>
            <w:noWrap/>
            <w:vAlign w:val="bottom"/>
            <w:hideMark/>
          </w:tcPr>
          <w:p w14:paraId="1A54B840" w14:textId="061C44EC"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116,058</w:t>
            </w:r>
          </w:p>
        </w:tc>
        <w:tc>
          <w:tcPr>
            <w:tcW w:w="1418" w:type="dxa"/>
            <w:tcBorders>
              <w:top w:val="nil"/>
              <w:left w:val="nil"/>
              <w:bottom w:val="nil"/>
              <w:right w:val="nil"/>
            </w:tcBorders>
            <w:shd w:val="clear" w:color="auto" w:fill="auto"/>
            <w:noWrap/>
            <w:vAlign w:val="bottom"/>
            <w:hideMark/>
          </w:tcPr>
          <w:p w14:paraId="3F2D38FB" w14:textId="3CAF3FC0"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44EFC4D5" w14:textId="77777777" w:rsidR="00137EB8" w:rsidRPr="00495094" w:rsidRDefault="00137EB8" w:rsidP="005F4B39">
            <w:pPr>
              <w:jc w:val="center"/>
              <w:rPr>
                <w:rFonts w:ascii="Arial" w:hAnsi="Arial" w:cs="Arial"/>
                <w:sz w:val="20"/>
                <w:szCs w:val="20"/>
                <w:lang w:val="en-PH" w:eastAsia="en-PH"/>
              </w:rPr>
            </w:pPr>
          </w:p>
        </w:tc>
      </w:tr>
      <w:tr w:rsidR="00495094" w:rsidRPr="00495094" w14:paraId="3496334A" w14:textId="77777777" w:rsidTr="004F4B61">
        <w:trPr>
          <w:trHeight w:val="300"/>
        </w:trPr>
        <w:tc>
          <w:tcPr>
            <w:tcW w:w="4068" w:type="dxa"/>
            <w:tcBorders>
              <w:top w:val="nil"/>
              <w:left w:val="nil"/>
              <w:bottom w:val="nil"/>
              <w:right w:val="nil"/>
            </w:tcBorders>
            <w:shd w:val="clear" w:color="auto" w:fill="auto"/>
            <w:noWrap/>
            <w:vAlign w:val="center"/>
            <w:hideMark/>
          </w:tcPr>
          <w:p w14:paraId="00074575" w14:textId="5DBC15F5"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Adjustment on depreciation </w:t>
            </w:r>
          </w:p>
        </w:tc>
        <w:tc>
          <w:tcPr>
            <w:tcW w:w="1460" w:type="dxa"/>
            <w:tcBorders>
              <w:top w:val="nil"/>
              <w:left w:val="nil"/>
              <w:bottom w:val="nil"/>
              <w:right w:val="nil"/>
            </w:tcBorders>
            <w:shd w:val="clear" w:color="auto" w:fill="auto"/>
            <w:noWrap/>
            <w:vAlign w:val="bottom"/>
            <w:hideMark/>
          </w:tcPr>
          <w:p w14:paraId="32005B24" w14:textId="494578D1"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418" w:type="dxa"/>
            <w:tcBorders>
              <w:top w:val="nil"/>
              <w:left w:val="nil"/>
              <w:bottom w:val="nil"/>
              <w:right w:val="nil"/>
            </w:tcBorders>
            <w:shd w:val="clear" w:color="auto" w:fill="auto"/>
            <w:noWrap/>
            <w:vAlign w:val="bottom"/>
            <w:hideMark/>
          </w:tcPr>
          <w:p w14:paraId="52B5526A" w14:textId="3E10743C"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82,429</w:t>
            </w:r>
          </w:p>
        </w:tc>
        <w:tc>
          <w:tcPr>
            <w:tcW w:w="1735" w:type="dxa"/>
            <w:tcBorders>
              <w:top w:val="nil"/>
              <w:left w:val="nil"/>
              <w:bottom w:val="nil"/>
              <w:right w:val="nil"/>
            </w:tcBorders>
            <w:shd w:val="clear" w:color="auto" w:fill="auto"/>
            <w:vAlign w:val="center"/>
            <w:hideMark/>
          </w:tcPr>
          <w:p w14:paraId="112787EC" w14:textId="77777777" w:rsidR="00137EB8" w:rsidRPr="00495094" w:rsidRDefault="00137EB8" w:rsidP="005F4B39">
            <w:pPr>
              <w:jc w:val="center"/>
              <w:rPr>
                <w:rFonts w:ascii="Arial" w:hAnsi="Arial" w:cs="Arial"/>
                <w:sz w:val="20"/>
                <w:szCs w:val="20"/>
                <w:lang w:val="en-PH" w:eastAsia="en-PH"/>
              </w:rPr>
            </w:pPr>
          </w:p>
        </w:tc>
      </w:tr>
      <w:tr w:rsidR="00495094" w:rsidRPr="00495094" w14:paraId="48800665" w14:textId="77777777" w:rsidTr="004F4B61">
        <w:trPr>
          <w:trHeight w:val="300"/>
        </w:trPr>
        <w:tc>
          <w:tcPr>
            <w:tcW w:w="4068" w:type="dxa"/>
            <w:tcBorders>
              <w:top w:val="nil"/>
              <w:left w:val="nil"/>
              <w:bottom w:val="nil"/>
              <w:right w:val="nil"/>
            </w:tcBorders>
            <w:shd w:val="clear" w:color="auto" w:fill="auto"/>
            <w:noWrap/>
            <w:vAlign w:val="center"/>
            <w:hideMark/>
          </w:tcPr>
          <w:p w14:paraId="013A6D76" w14:textId="13A33A03" w:rsidR="00137EB8" w:rsidRPr="00495094" w:rsidRDefault="00137EB8" w:rsidP="00B62C67">
            <w:pPr>
              <w:ind w:left="32"/>
              <w:jc w:val="left"/>
              <w:rPr>
                <w:rFonts w:ascii="Arial" w:hAnsi="Arial" w:cs="Arial"/>
                <w:sz w:val="20"/>
                <w:szCs w:val="20"/>
                <w:lang w:val="en-PH" w:eastAsia="en-PH"/>
              </w:rPr>
            </w:pPr>
            <w:r w:rsidRPr="00495094">
              <w:rPr>
                <w:rFonts w:ascii="Arial" w:hAnsi="Arial" w:cs="Arial"/>
                <w:sz w:val="20"/>
                <w:szCs w:val="20"/>
                <w:lang w:val="en-PH" w:eastAsia="en-PH"/>
              </w:rPr>
              <w:t xml:space="preserve">Cost of leased lines </w:t>
            </w:r>
          </w:p>
        </w:tc>
        <w:tc>
          <w:tcPr>
            <w:tcW w:w="1460" w:type="dxa"/>
            <w:tcBorders>
              <w:top w:val="nil"/>
              <w:left w:val="nil"/>
              <w:bottom w:val="nil"/>
              <w:right w:val="nil"/>
            </w:tcBorders>
            <w:shd w:val="clear" w:color="auto" w:fill="auto"/>
            <w:noWrap/>
            <w:vAlign w:val="bottom"/>
            <w:hideMark/>
          </w:tcPr>
          <w:p w14:paraId="3985F799" w14:textId="7AE47B80"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39,616</w:t>
            </w:r>
          </w:p>
        </w:tc>
        <w:tc>
          <w:tcPr>
            <w:tcW w:w="1418" w:type="dxa"/>
            <w:tcBorders>
              <w:top w:val="nil"/>
              <w:left w:val="nil"/>
              <w:bottom w:val="nil"/>
              <w:right w:val="nil"/>
            </w:tcBorders>
            <w:shd w:val="clear" w:color="auto" w:fill="auto"/>
            <w:noWrap/>
            <w:vAlign w:val="bottom"/>
            <w:hideMark/>
          </w:tcPr>
          <w:p w14:paraId="6378771B" w14:textId="33508A17"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735" w:type="dxa"/>
            <w:tcBorders>
              <w:top w:val="nil"/>
              <w:left w:val="nil"/>
              <w:bottom w:val="nil"/>
              <w:right w:val="nil"/>
            </w:tcBorders>
            <w:shd w:val="clear" w:color="auto" w:fill="auto"/>
            <w:vAlign w:val="center"/>
            <w:hideMark/>
          </w:tcPr>
          <w:p w14:paraId="1F7E39E7" w14:textId="77777777" w:rsidR="00137EB8" w:rsidRPr="00495094" w:rsidRDefault="00137EB8" w:rsidP="005F4B39">
            <w:pPr>
              <w:jc w:val="center"/>
              <w:rPr>
                <w:rFonts w:ascii="Arial" w:hAnsi="Arial" w:cs="Arial"/>
                <w:sz w:val="20"/>
                <w:szCs w:val="20"/>
                <w:lang w:val="en-PH" w:eastAsia="en-PH"/>
              </w:rPr>
            </w:pPr>
          </w:p>
        </w:tc>
      </w:tr>
      <w:tr w:rsidR="00495094" w:rsidRPr="00495094" w14:paraId="6C807666" w14:textId="77777777" w:rsidTr="004F4B61">
        <w:trPr>
          <w:trHeight w:val="315"/>
        </w:trPr>
        <w:tc>
          <w:tcPr>
            <w:tcW w:w="4068" w:type="dxa"/>
            <w:tcBorders>
              <w:top w:val="nil"/>
              <w:left w:val="nil"/>
              <w:bottom w:val="single" w:sz="8" w:space="0" w:color="auto"/>
              <w:right w:val="nil"/>
            </w:tcBorders>
            <w:shd w:val="clear" w:color="auto" w:fill="auto"/>
            <w:noWrap/>
            <w:vAlign w:val="center"/>
            <w:hideMark/>
          </w:tcPr>
          <w:p w14:paraId="7282225C" w14:textId="77777777" w:rsidR="00137EB8" w:rsidRPr="00495094" w:rsidRDefault="00137EB8" w:rsidP="00B62C67">
            <w:pPr>
              <w:jc w:val="left"/>
              <w:rPr>
                <w:rFonts w:ascii="Arial" w:hAnsi="Arial" w:cs="Arial"/>
                <w:sz w:val="20"/>
                <w:szCs w:val="20"/>
                <w:lang w:val="en-PH" w:eastAsia="en-PH"/>
              </w:rPr>
            </w:pPr>
            <w:r w:rsidRPr="00495094">
              <w:rPr>
                <w:rFonts w:ascii="Arial" w:hAnsi="Arial" w:cs="Arial"/>
                <w:sz w:val="20"/>
                <w:szCs w:val="20"/>
                <w:lang w:val="en-PH" w:eastAsia="en-PH"/>
              </w:rPr>
              <w:lastRenderedPageBreak/>
              <w:t xml:space="preserve"> Reversal of rent </w:t>
            </w:r>
          </w:p>
        </w:tc>
        <w:tc>
          <w:tcPr>
            <w:tcW w:w="1460" w:type="dxa"/>
            <w:tcBorders>
              <w:top w:val="nil"/>
              <w:left w:val="nil"/>
              <w:bottom w:val="single" w:sz="8" w:space="0" w:color="auto"/>
              <w:right w:val="nil"/>
            </w:tcBorders>
            <w:shd w:val="clear" w:color="auto" w:fill="auto"/>
            <w:noWrap/>
            <w:vAlign w:val="bottom"/>
            <w:hideMark/>
          </w:tcPr>
          <w:p w14:paraId="056D232E" w14:textId="2124F9F3" w:rsidR="00137EB8" w:rsidRPr="00495094" w:rsidRDefault="00501B71" w:rsidP="003315ED">
            <w:pPr>
              <w:jc w:val="right"/>
              <w:rPr>
                <w:rFonts w:ascii="Arial" w:hAnsi="Arial" w:cs="Arial"/>
                <w:sz w:val="20"/>
                <w:szCs w:val="20"/>
                <w:lang w:val="en-PH" w:eastAsia="en-PH"/>
              </w:rPr>
            </w:pPr>
            <w:r w:rsidRPr="00495094">
              <w:rPr>
                <w:rFonts w:ascii="Arial" w:hAnsi="Arial" w:cs="Arial"/>
                <w:sz w:val="20"/>
                <w:szCs w:val="20"/>
                <w:lang w:val="en-PH" w:eastAsia="en-PH"/>
              </w:rPr>
              <w:t>0</w:t>
            </w:r>
          </w:p>
        </w:tc>
        <w:tc>
          <w:tcPr>
            <w:tcW w:w="1418" w:type="dxa"/>
            <w:tcBorders>
              <w:top w:val="nil"/>
              <w:left w:val="nil"/>
              <w:bottom w:val="single" w:sz="8" w:space="0" w:color="auto"/>
              <w:right w:val="nil"/>
            </w:tcBorders>
            <w:shd w:val="clear" w:color="auto" w:fill="auto"/>
            <w:noWrap/>
            <w:vAlign w:val="bottom"/>
            <w:hideMark/>
          </w:tcPr>
          <w:p w14:paraId="46EB43A6" w14:textId="1150CF3D" w:rsidR="00137EB8" w:rsidRPr="00495094" w:rsidRDefault="00B512E4" w:rsidP="003315ED">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156,652</w:t>
            </w:r>
          </w:p>
        </w:tc>
        <w:tc>
          <w:tcPr>
            <w:tcW w:w="1735" w:type="dxa"/>
            <w:tcBorders>
              <w:top w:val="nil"/>
              <w:left w:val="nil"/>
              <w:bottom w:val="single" w:sz="8" w:space="0" w:color="auto"/>
              <w:right w:val="nil"/>
            </w:tcBorders>
            <w:shd w:val="clear" w:color="auto" w:fill="auto"/>
            <w:vAlign w:val="center"/>
            <w:hideMark/>
          </w:tcPr>
          <w:p w14:paraId="4A8F0A06" w14:textId="2C6DAD9D" w:rsidR="00137EB8" w:rsidRPr="00495094" w:rsidRDefault="00137EB8" w:rsidP="005F4B39">
            <w:pPr>
              <w:jc w:val="center"/>
              <w:rPr>
                <w:rFonts w:ascii="Arial" w:hAnsi="Arial" w:cs="Arial"/>
                <w:sz w:val="20"/>
                <w:szCs w:val="20"/>
                <w:lang w:val="en-PH" w:eastAsia="en-PH"/>
              </w:rPr>
            </w:pPr>
          </w:p>
        </w:tc>
      </w:tr>
      <w:tr w:rsidR="00495094" w:rsidRPr="00495094" w14:paraId="6FD81697" w14:textId="77777777" w:rsidTr="004F4B61">
        <w:trPr>
          <w:trHeight w:val="315"/>
        </w:trPr>
        <w:tc>
          <w:tcPr>
            <w:tcW w:w="4068" w:type="dxa"/>
            <w:tcBorders>
              <w:top w:val="nil"/>
              <w:left w:val="nil"/>
              <w:bottom w:val="single" w:sz="8" w:space="0" w:color="auto"/>
              <w:right w:val="nil"/>
            </w:tcBorders>
            <w:shd w:val="clear" w:color="auto" w:fill="auto"/>
            <w:noWrap/>
            <w:vAlign w:val="center"/>
            <w:hideMark/>
          </w:tcPr>
          <w:p w14:paraId="174B0850" w14:textId="77777777" w:rsidR="00137EB8" w:rsidRPr="00495094" w:rsidRDefault="00137EB8" w:rsidP="00137EB8">
            <w:pPr>
              <w:jc w:val="left"/>
              <w:rPr>
                <w:rFonts w:ascii="Arial" w:hAnsi="Arial" w:cs="Arial"/>
                <w:sz w:val="20"/>
                <w:szCs w:val="20"/>
                <w:lang w:val="en-PH" w:eastAsia="en-PH"/>
              </w:rPr>
            </w:pPr>
            <w:r w:rsidRPr="00495094">
              <w:rPr>
                <w:rFonts w:ascii="Arial" w:hAnsi="Arial" w:cs="Arial"/>
                <w:sz w:val="20"/>
                <w:szCs w:val="20"/>
                <w:lang w:val="en-PH" w:eastAsia="en-PH"/>
              </w:rPr>
              <w:t> </w:t>
            </w:r>
          </w:p>
        </w:tc>
        <w:tc>
          <w:tcPr>
            <w:tcW w:w="1460" w:type="dxa"/>
            <w:tcBorders>
              <w:top w:val="nil"/>
              <w:left w:val="nil"/>
              <w:bottom w:val="single" w:sz="8" w:space="0" w:color="auto"/>
              <w:right w:val="nil"/>
            </w:tcBorders>
            <w:shd w:val="clear" w:color="auto" w:fill="auto"/>
            <w:noWrap/>
            <w:vAlign w:val="bottom"/>
            <w:hideMark/>
          </w:tcPr>
          <w:p w14:paraId="348AB636" w14:textId="3261B8B5" w:rsidR="00137EB8" w:rsidRPr="00495094" w:rsidRDefault="00137EB8" w:rsidP="00CD7C16">
            <w:pPr>
              <w:jc w:val="right"/>
              <w:rPr>
                <w:rFonts w:ascii="Arial" w:hAnsi="Arial" w:cs="Arial"/>
                <w:sz w:val="20"/>
                <w:szCs w:val="20"/>
                <w:lang w:val="en-PH" w:eastAsia="en-PH"/>
              </w:rPr>
            </w:pPr>
            <w:r w:rsidRPr="00495094">
              <w:rPr>
                <w:rFonts w:ascii="Arial" w:hAnsi="Arial" w:cs="Arial"/>
                <w:sz w:val="20"/>
                <w:szCs w:val="20"/>
                <w:lang w:val="en-PH" w:eastAsia="en-PH"/>
              </w:rPr>
              <w:t>8,040,37</w:t>
            </w:r>
            <w:r w:rsidR="00CD7C16" w:rsidRPr="00495094">
              <w:rPr>
                <w:rFonts w:ascii="Arial" w:hAnsi="Arial" w:cs="Arial"/>
                <w:sz w:val="20"/>
                <w:szCs w:val="20"/>
                <w:lang w:val="en-PH" w:eastAsia="en-PH"/>
              </w:rPr>
              <w:t>8</w:t>
            </w:r>
          </w:p>
        </w:tc>
        <w:tc>
          <w:tcPr>
            <w:tcW w:w="1418" w:type="dxa"/>
            <w:tcBorders>
              <w:top w:val="nil"/>
              <w:left w:val="nil"/>
              <w:bottom w:val="single" w:sz="8" w:space="0" w:color="auto"/>
              <w:right w:val="nil"/>
            </w:tcBorders>
            <w:shd w:val="clear" w:color="auto" w:fill="auto"/>
            <w:noWrap/>
            <w:vAlign w:val="bottom"/>
            <w:hideMark/>
          </w:tcPr>
          <w:p w14:paraId="487D0497" w14:textId="33D7821C" w:rsidR="00137EB8" w:rsidRPr="00495094" w:rsidRDefault="00B512E4" w:rsidP="00CD7C16">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1,557,42</w:t>
            </w:r>
            <w:r w:rsidR="00CD7C16" w:rsidRPr="00495094">
              <w:rPr>
                <w:rFonts w:ascii="Arial" w:hAnsi="Arial" w:cs="Arial"/>
                <w:sz w:val="20"/>
                <w:szCs w:val="20"/>
                <w:lang w:val="en-PH" w:eastAsia="en-PH"/>
              </w:rPr>
              <w:t>7</w:t>
            </w:r>
          </w:p>
        </w:tc>
        <w:tc>
          <w:tcPr>
            <w:tcW w:w="1735" w:type="dxa"/>
            <w:tcBorders>
              <w:top w:val="nil"/>
              <w:left w:val="nil"/>
              <w:bottom w:val="single" w:sz="8" w:space="0" w:color="auto"/>
              <w:right w:val="nil"/>
            </w:tcBorders>
            <w:shd w:val="clear" w:color="auto" w:fill="auto"/>
            <w:vAlign w:val="center"/>
            <w:hideMark/>
          </w:tcPr>
          <w:p w14:paraId="7F25FFED" w14:textId="386B11BA" w:rsidR="00137EB8" w:rsidRPr="00495094" w:rsidRDefault="00B512E4" w:rsidP="005F4B39">
            <w:pPr>
              <w:jc w:val="center"/>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(6,482,951)</w:t>
            </w:r>
          </w:p>
        </w:tc>
      </w:tr>
      <w:tr w:rsidR="00495094" w:rsidRPr="00495094" w14:paraId="5AE8AB19" w14:textId="77777777" w:rsidTr="004F4B61">
        <w:trPr>
          <w:trHeight w:val="315"/>
        </w:trPr>
        <w:tc>
          <w:tcPr>
            <w:tcW w:w="4068" w:type="dxa"/>
            <w:tcBorders>
              <w:top w:val="nil"/>
              <w:left w:val="nil"/>
              <w:bottom w:val="single" w:sz="8" w:space="0" w:color="auto"/>
              <w:right w:val="nil"/>
            </w:tcBorders>
            <w:shd w:val="clear" w:color="auto" w:fill="auto"/>
            <w:noWrap/>
            <w:vAlign w:val="bottom"/>
            <w:hideMark/>
          </w:tcPr>
          <w:p w14:paraId="4FE7837C" w14:textId="77777777" w:rsidR="00137EB8" w:rsidRPr="00495094" w:rsidRDefault="00137EB8" w:rsidP="00501B71">
            <w:pPr>
              <w:jc w:val="left"/>
              <w:rPr>
                <w:rFonts w:ascii="Arial" w:hAnsi="Arial" w:cs="Arial"/>
                <w:sz w:val="20"/>
                <w:szCs w:val="20"/>
                <w:lang w:val="en-PH" w:eastAsia="en-PH"/>
              </w:rPr>
            </w:pPr>
            <w:r w:rsidRPr="00495094">
              <w:rPr>
                <w:rFonts w:ascii="Arial" w:hAnsi="Arial" w:cs="Arial"/>
                <w:sz w:val="20"/>
                <w:szCs w:val="20"/>
                <w:lang w:val="en-PH" w:eastAsia="en-PH"/>
              </w:rPr>
              <w:t xml:space="preserve"> Net loss for CY 2021, as restated </w:t>
            </w:r>
          </w:p>
        </w:tc>
        <w:tc>
          <w:tcPr>
            <w:tcW w:w="1460" w:type="dxa"/>
            <w:tcBorders>
              <w:top w:val="nil"/>
              <w:left w:val="nil"/>
              <w:bottom w:val="single" w:sz="8" w:space="0" w:color="auto"/>
              <w:right w:val="nil"/>
            </w:tcBorders>
            <w:shd w:val="clear" w:color="auto" w:fill="auto"/>
            <w:noWrap/>
            <w:vAlign w:val="center"/>
            <w:hideMark/>
          </w:tcPr>
          <w:p w14:paraId="7FAC03C9" w14:textId="18500289" w:rsidR="00137EB8" w:rsidRPr="00495094" w:rsidRDefault="00137EB8" w:rsidP="001B266C">
            <w:pPr>
              <w:jc w:val="center"/>
              <w:rPr>
                <w:rFonts w:ascii="Arial" w:hAnsi="Arial" w:cs="Arial"/>
                <w:sz w:val="20"/>
                <w:szCs w:val="20"/>
                <w:lang w:val="en-PH" w:eastAsia="en-PH"/>
              </w:rPr>
            </w:pPr>
          </w:p>
        </w:tc>
        <w:tc>
          <w:tcPr>
            <w:tcW w:w="1418" w:type="dxa"/>
            <w:tcBorders>
              <w:top w:val="nil"/>
              <w:left w:val="nil"/>
              <w:bottom w:val="single" w:sz="8" w:space="0" w:color="auto"/>
              <w:right w:val="nil"/>
            </w:tcBorders>
            <w:shd w:val="clear" w:color="auto" w:fill="auto"/>
            <w:noWrap/>
            <w:vAlign w:val="center"/>
            <w:hideMark/>
          </w:tcPr>
          <w:p w14:paraId="051A2AC3" w14:textId="77777777" w:rsidR="00137EB8" w:rsidRPr="00495094" w:rsidRDefault="00137EB8" w:rsidP="00137EB8">
            <w:pPr>
              <w:jc w:val="left"/>
              <w:rPr>
                <w:rFonts w:ascii="Arial" w:hAnsi="Arial" w:cs="Arial"/>
                <w:sz w:val="20"/>
                <w:szCs w:val="20"/>
                <w:lang w:val="en-PH" w:eastAsia="en-PH"/>
              </w:rPr>
            </w:pPr>
            <w:r w:rsidRPr="00495094">
              <w:rPr>
                <w:rFonts w:ascii="Arial" w:hAnsi="Arial" w:cs="Arial"/>
                <w:sz w:val="20"/>
                <w:szCs w:val="20"/>
                <w:lang w:val="en-PH" w:eastAsia="en-PH"/>
              </w:rPr>
              <w:t> </w:t>
            </w:r>
          </w:p>
        </w:tc>
        <w:tc>
          <w:tcPr>
            <w:tcW w:w="1735" w:type="dxa"/>
            <w:tcBorders>
              <w:top w:val="nil"/>
              <w:left w:val="nil"/>
              <w:bottom w:val="single" w:sz="8" w:space="0" w:color="auto"/>
              <w:right w:val="nil"/>
            </w:tcBorders>
            <w:shd w:val="clear" w:color="auto" w:fill="auto"/>
            <w:vAlign w:val="bottom"/>
            <w:hideMark/>
          </w:tcPr>
          <w:p w14:paraId="57E72E50" w14:textId="0975D45A" w:rsidR="00137EB8" w:rsidRPr="00495094" w:rsidRDefault="00137EB8" w:rsidP="001B266C">
            <w:pPr>
              <w:jc w:val="center"/>
              <w:rPr>
                <w:rFonts w:ascii="Arial" w:hAnsi="Arial" w:cs="Arial"/>
                <w:sz w:val="20"/>
                <w:szCs w:val="20"/>
                <w:lang w:val="en-PH" w:eastAsia="en-PH"/>
              </w:rPr>
            </w:pPr>
            <w:r w:rsidRPr="00495094">
              <w:rPr>
                <w:rFonts w:ascii="Arial" w:hAnsi="Arial" w:cs="Arial"/>
                <w:sz w:val="20"/>
                <w:szCs w:val="20"/>
                <w:lang w:val="en-PH" w:eastAsia="en-PH"/>
              </w:rPr>
              <w:t>(130,385,98</w:t>
            </w:r>
            <w:r w:rsidR="001B266C" w:rsidRPr="00495094">
              <w:rPr>
                <w:rFonts w:ascii="Arial" w:hAnsi="Arial" w:cs="Arial"/>
                <w:sz w:val="20"/>
                <w:szCs w:val="20"/>
                <w:lang w:val="en-PH" w:eastAsia="en-PH"/>
              </w:rPr>
              <w:t>3</w:t>
            </w:r>
            <w:r w:rsidRPr="00495094">
              <w:rPr>
                <w:rFonts w:ascii="Arial" w:hAnsi="Arial" w:cs="Arial"/>
                <w:sz w:val="20"/>
                <w:szCs w:val="20"/>
                <w:lang w:val="en-PH" w:eastAsia="en-PH"/>
              </w:rPr>
              <w:t>)</w:t>
            </w:r>
          </w:p>
        </w:tc>
      </w:tr>
      <w:tr w:rsidR="00137EB8" w:rsidRPr="00495094" w14:paraId="7253B5D3" w14:textId="77777777" w:rsidTr="004F4B61">
        <w:trPr>
          <w:trHeight w:val="315"/>
        </w:trPr>
        <w:tc>
          <w:tcPr>
            <w:tcW w:w="6946" w:type="dxa"/>
            <w:gridSpan w:val="3"/>
            <w:tcBorders>
              <w:top w:val="single" w:sz="8" w:space="0" w:color="auto"/>
              <w:left w:val="nil"/>
              <w:bottom w:val="double" w:sz="6" w:space="0" w:color="auto"/>
              <w:right w:val="nil"/>
            </w:tcBorders>
            <w:shd w:val="clear" w:color="auto" w:fill="auto"/>
            <w:noWrap/>
            <w:vAlign w:val="center"/>
            <w:hideMark/>
          </w:tcPr>
          <w:p w14:paraId="2AF8B779" w14:textId="77777777" w:rsidR="00137EB8" w:rsidRPr="00495094" w:rsidRDefault="00137EB8" w:rsidP="00137EB8">
            <w:pPr>
              <w:jc w:val="left"/>
              <w:rPr>
                <w:rFonts w:ascii="Arial" w:hAnsi="Arial" w:cs="Arial"/>
                <w:sz w:val="20"/>
                <w:szCs w:val="20"/>
                <w:lang w:val="en-PH" w:eastAsia="en-PH"/>
              </w:rPr>
            </w:pPr>
            <w:r w:rsidRPr="00495094">
              <w:rPr>
                <w:rFonts w:ascii="Arial" w:hAnsi="Arial" w:cs="Arial"/>
                <w:sz w:val="20"/>
                <w:szCs w:val="20"/>
                <w:lang w:val="en-PH" w:eastAsia="en-PH"/>
              </w:rPr>
              <w:t xml:space="preserve"> Retained earnings as of December 31, 2021, as restated </w:t>
            </w:r>
          </w:p>
        </w:tc>
        <w:tc>
          <w:tcPr>
            <w:tcW w:w="1735" w:type="dxa"/>
            <w:tcBorders>
              <w:top w:val="nil"/>
              <w:left w:val="nil"/>
              <w:bottom w:val="double" w:sz="6" w:space="0" w:color="auto"/>
              <w:right w:val="nil"/>
            </w:tcBorders>
            <w:shd w:val="clear" w:color="auto" w:fill="auto"/>
            <w:vAlign w:val="center"/>
            <w:hideMark/>
          </w:tcPr>
          <w:p w14:paraId="22A36B2F" w14:textId="16CE5818" w:rsidR="00137EB8" w:rsidRPr="00495094" w:rsidRDefault="00137EB8" w:rsidP="005F4B39">
            <w:pPr>
              <w:jc w:val="center"/>
              <w:rPr>
                <w:rFonts w:ascii="Arial" w:hAnsi="Arial" w:cs="Arial"/>
                <w:sz w:val="20"/>
                <w:szCs w:val="20"/>
                <w:lang w:val="en-PH" w:eastAsia="en-PH"/>
              </w:rPr>
            </w:pPr>
            <w:r w:rsidRPr="00495094">
              <w:rPr>
                <w:rFonts w:ascii="Arial" w:hAnsi="Arial" w:cs="Arial"/>
                <w:sz w:val="20"/>
                <w:szCs w:val="20"/>
                <w:lang w:val="en-PH" w:eastAsia="en-PH"/>
              </w:rPr>
              <w:t>(1,417,372,752)</w:t>
            </w:r>
          </w:p>
        </w:tc>
      </w:tr>
    </w:tbl>
    <w:p w14:paraId="5232BFC0" w14:textId="77777777" w:rsidR="008E4402" w:rsidRPr="00495094" w:rsidRDefault="008E4402" w:rsidP="00A856F8">
      <w:pPr>
        <w:rPr>
          <w:rFonts w:ascii="Arial" w:hAnsi="Arial" w:cs="Arial"/>
          <w:sz w:val="22"/>
          <w:szCs w:val="22"/>
          <w:highlight w:val="yellow"/>
        </w:rPr>
      </w:pPr>
    </w:p>
    <w:p w14:paraId="018DA4D9" w14:textId="77777777" w:rsidR="000C4090" w:rsidRPr="00495094" w:rsidRDefault="000C4090" w:rsidP="00A856F8">
      <w:pPr>
        <w:rPr>
          <w:rFonts w:ascii="Arial" w:hAnsi="Arial" w:cs="Arial"/>
          <w:sz w:val="22"/>
          <w:szCs w:val="22"/>
          <w:highlight w:val="yellow"/>
        </w:rPr>
      </w:pPr>
    </w:p>
    <w:tbl>
      <w:tblPr>
        <w:tblW w:w="9153" w:type="dxa"/>
        <w:tblLook w:val="04A0" w:firstRow="1" w:lastRow="0" w:firstColumn="1" w:lastColumn="0" w:noHBand="0" w:noVBand="1"/>
      </w:tblPr>
      <w:tblGrid>
        <w:gridCol w:w="2977"/>
        <w:gridCol w:w="2348"/>
        <w:gridCol w:w="1817"/>
        <w:gridCol w:w="1789"/>
        <w:gridCol w:w="222"/>
      </w:tblGrid>
      <w:tr w:rsidR="00495094" w:rsidRPr="00495094" w14:paraId="7C0717C5" w14:textId="77777777" w:rsidTr="00490771">
        <w:trPr>
          <w:gridAfter w:val="1"/>
          <w:wAfter w:w="222" w:type="dxa"/>
          <w:trHeight w:val="525"/>
          <w:tblHeader/>
        </w:trPr>
        <w:tc>
          <w:tcPr>
            <w:tcW w:w="2977" w:type="dxa"/>
            <w:tcBorders>
              <w:top w:val="single" w:sz="8" w:space="0" w:color="auto"/>
              <w:left w:val="nil"/>
              <w:bottom w:val="single" w:sz="8" w:space="0" w:color="auto"/>
              <w:right w:val="nil"/>
            </w:tcBorders>
            <w:shd w:val="clear" w:color="auto" w:fill="auto"/>
            <w:noWrap/>
            <w:vAlign w:val="center"/>
            <w:hideMark/>
          </w:tcPr>
          <w:p w14:paraId="705E1620" w14:textId="00706F6B" w:rsidR="00137EB8" w:rsidRPr="00495094" w:rsidRDefault="00490771" w:rsidP="00490771">
            <w:pPr>
              <w:jc w:val="center"/>
              <w:rPr>
                <w:rFonts w:ascii="Arial" w:hAnsi="Arial" w:cs="Arial"/>
                <w:b/>
                <w:bCs/>
                <w:sz w:val="20"/>
                <w:szCs w:val="20"/>
                <w:lang w:val="en-PH" w:eastAsia="en-PH"/>
              </w:rPr>
            </w:pPr>
            <w:r w:rsidRPr="00495094">
              <w:rPr>
                <w:rFonts w:ascii="Arial" w:hAnsi="Arial" w:cs="Arial"/>
                <w:b/>
                <w:bCs/>
                <w:sz w:val="20"/>
                <w:szCs w:val="20"/>
                <w:lang w:val="en-PH" w:eastAsia="en-PH"/>
              </w:rPr>
              <w:t>December 31, 2021</w:t>
            </w:r>
          </w:p>
        </w:tc>
        <w:tc>
          <w:tcPr>
            <w:tcW w:w="2348" w:type="dxa"/>
            <w:tcBorders>
              <w:top w:val="single" w:sz="8" w:space="0" w:color="auto"/>
              <w:left w:val="nil"/>
              <w:bottom w:val="single" w:sz="8" w:space="0" w:color="auto"/>
              <w:right w:val="nil"/>
            </w:tcBorders>
            <w:shd w:val="clear" w:color="auto" w:fill="auto"/>
            <w:vAlign w:val="center"/>
            <w:hideMark/>
          </w:tcPr>
          <w:p w14:paraId="6483B299" w14:textId="77777777" w:rsidR="00137EB8" w:rsidRPr="00495094" w:rsidRDefault="00137EB8" w:rsidP="004C529E">
            <w:pPr>
              <w:jc w:val="center"/>
              <w:rPr>
                <w:rFonts w:ascii="Arial" w:hAnsi="Arial" w:cs="Arial"/>
                <w:b/>
                <w:bCs/>
                <w:sz w:val="20"/>
                <w:szCs w:val="20"/>
                <w:lang w:val="en-PH" w:eastAsia="en-PH"/>
              </w:rPr>
            </w:pPr>
            <w:r w:rsidRPr="00495094">
              <w:rPr>
                <w:rFonts w:ascii="Arial" w:hAnsi="Arial" w:cs="Arial"/>
                <w:b/>
                <w:bCs/>
                <w:sz w:val="20"/>
                <w:szCs w:val="20"/>
                <w:lang w:val="en-PH" w:eastAsia="en-PH"/>
              </w:rPr>
              <w:t xml:space="preserve"> As Previously Reported </w:t>
            </w:r>
          </w:p>
        </w:tc>
        <w:tc>
          <w:tcPr>
            <w:tcW w:w="1817" w:type="dxa"/>
            <w:tcBorders>
              <w:top w:val="single" w:sz="8" w:space="0" w:color="auto"/>
              <w:left w:val="nil"/>
              <w:bottom w:val="single" w:sz="8" w:space="0" w:color="auto"/>
              <w:right w:val="nil"/>
            </w:tcBorders>
            <w:shd w:val="clear" w:color="auto" w:fill="auto"/>
            <w:vAlign w:val="center"/>
            <w:hideMark/>
          </w:tcPr>
          <w:p w14:paraId="2B6783DB" w14:textId="77777777" w:rsidR="00137EB8" w:rsidRPr="00495094" w:rsidRDefault="00137EB8" w:rsidP="004C529E">
            <w:pPr>
              <w:jc w:val="center"/>
              <w:rPr>
                <w:rFonts w:ascii="Arial" w:hAnsi="Arial" w:cs="Arial"/>
                <w:b/>
                <w:bCs/>
                <w:sz w:val="20"/>
                <w:szCs w:val="20"/>
                <w:lang w:val="en-PH" w:eastAsia="en-PH"/>
              </w:rPr>
            </w:pPr>
            <w:r w:rsidRPr="00495094">
              <w:rPr>
                <w:rFonts w:ascii="Arial" w:hAnsi="Arial" w:cs="Arial"/>
                <w:b/>
                <w:bCs/>
                <w:sz w:val="20"/>
                <w:szCs w:val="20"/>
                <w:lang w:val="en-PH" w:eastAsia="en-PH"/>
              </w:rPr>
              <w:t xml:space="preserve"> Effects of Restatement </w:t>
            </w:r>
          </w:p>
        </w:tc>
        <w:tc>
          <w:tcPr>
            <w:tcW w:w="1789" w:type="dxa"/>
            <w:tcBorders>
              <w:top w:val="single" w:sz="8" w:space="0" w:color="auto"/>
              <w:left w:val="nil"/>
              <w:bottom w:val="single" w:sz="8" w:space="0" w:color="auto"/>
              <w:right w:val="nil"/>
            </w:tcBorders>
            <w:shd w:val="clear" w:color="auto" w:fill="auto"/>
            <w:vAlign w:val="center"/>
            <w:hideMark/>
          </w:tcPr>
          <w:p w14:paraId="3D3A2E18" w14:textId="77777777" w:rsidR="00137EB8" w:rsidRPr="00495094" w:rsidRDefault="00137EB8" w:rsidP="004C529E">
            <w:pPr>
              <w:jc w:val="center"/>
              <w:rPr>
                <w:rFonts w:ascii="Arial" w:hAnsi="Arial" w:cs="Arial"/>
                <w:b/>
                <w:bCs/>
                <w:sz w:val="20"/>
                <w:szCs w:val="20"/>
                <w:lang w:val="en-PH" w:eastAsia="en-PH"/>
              </w:rPr>
            </w:pPr>
            <w:r w:rsidRPr="00495094">
              <w:rPr>
                <w:rFonts w:ascii="Arial" w:hAnsi="Arial" w:cs="Arial"/>
                <w:b/>
                <w:bCs/>
                <w:sz w:val="20"/>
                <w:szCs w:val="20"/>
                <w:lang w:val="en-PH" w:eastAsia="en-PH"/>
              </w:rPr>
              <w:t xml:space="preserve"> As Restated </w:t>
            </w:r>
          </w:p>
        </w:tc>
      </w:tr>
      <w:tr w:rsidR="00495094" w:rsidRPr="00495094" w14:paraId="7F159AC0" w14:textId="77777777" w:rsidTr="00490771">
        <w:trPr>
          <w:gridAfter w:val="1"/>
          <w:wAfter w:w="222" w:type="dxa"/>
          <w:trHeight w:val="300"/>
        </w:trPr>
        <w:tc>
          <w:tcPr>
            <w:tcW w:w="5325" w:type="dxa"/>
            <w:gridSpan w:val="2"/>
            <w:tcBorders>
              <w:top w:val="nil"/>
              <w:left w:val="nil"/>
              <w:bottom w:val="nil"/>
              <w:right w:val="nil"/>
            </w:tcBorders>
            <w:shd w:val="clear" w:color="auto" w:fill="auto"/>
            <w:noWrap/>
            <w:vAlign w:val="center"/>
            <w:hideMark/>
          </w:tcPr>
          <w:p w14:paraId="107950CC" w14:textId="0A70D4E2" w:rsidR="00501B71" w:rsidRPr="00495094" w:rsidRDefault="00501B71" w:rsidP="004C529E">
            <w:pPr>
              <w:jc w:val="left"/>
              <w:rPr>
                <w:rFonts w:ascii="Arial" w:hAnsi="Arial" w:cs="Arial"/>
                <w:b/>
                <w:bCs/>
                <w:i/>
                <w:iCs/>
                <w:sz w:val="20"/>
                <w:szCs w:val="20"/>
                <w:lang w:val="en-PH" w:eastAsia="en-PH"/>
              </w:rPr>
            </w:pPr>
            <w:r w:rsidRPr="00495094">
              <w:rPr>
                <w:rFonts w:ascii="Arial" w:hAnsi="Arial" w:cs="Arial"/>
                <w:b/>
                <w:bCs/>
                <w:i/>
                <w:iCs/>
                <w:sz w:val="20"/>
                <w:szCs w:val="20"/>
                <w:lang w:val="en-PH" w:eastAsia="en-PH"/>
              </w:rPr>
              <w:t xml:space="preserve">Changes in the Statement of Financial Position </w:t>
            </w:r>
          </w:p>
        </w:tc>
        <w:tc>
          <w:tcPr>
            <w:tcW w:w="1817" w:type="dxa"/>
            <w:tcBorders>
              <w:top w:val="nil"/>
              <w:left w:val="nil"/>
              <w:bottom w:val="nil"/>
              <w:right w:val="nil"/>
            </w:tcBorders>
            <w:shd w:val="clear" w:color="auto" w:fill="auto"/>
            <w:vAlign w:val="center"/>
            <w:hideMark/>
          </w:tcPr>
          <w:p w14:paraId="191D50B8" w14:textId="77777777" w:rsidR="00501B71" w:rsidRPr="00495094" w:rsidRDefault="00501B71" w:rsidP="004C529E">
            <w:pPr>
              <w:jc w:val="left"/>
              <w:rPr>
                <w:rFonts w:ascii="Arial" w:hAnsi="Arial" w:cs="Arial"/>
                <w:sz w:val="20"/>
                <w:szCs w:val="20"/>
                <w:lang w:val="en-PH" w:eastAsia="en-PH"/>
              </w:rPr>
            </w:pPr>
          </w:p>
        </w:tc>
        <w:tc>
          <w:tcPr>
            <w:tcW w:w="1789" w:type="dxa"/>
            <w:tcBorders>
              <w:top w:val="nil"/>
              <w:left w:val="nil"/>
              <w:bottom w:val="nil"/>
              <w:right w:val="nil"/>
            </w:tcBorders>
            <w:shd w:val="clear" w:color="auto" w:fill="auto"/>
            <w:vAlign w:val="center"/>
            <w:hideMark/>
          </w:tcPr>
          <w:p w14:paraId="14AE5593" w14:textId="77777777" w:rsidR="00501B71" w:rsidRPr="00495094" w:rsidRDefault="00501B71" w:rsidP="004C529E">
            <w:pPr>
              <w:jc w:val="left"/>
              <w:rPr>
                <w:rFonts w:ascii="Arial" w:hAnsi="Arial" w:cs="Arial"/>
                <w:sz w:val="20"/>
                <w:szCs w:val="20"/>
                <w:lang w:val="en-PH" w:eastAsia="en-PH"/>
              </w:rPr>
            </w:pPr>
          </w:p>
        </w:tc>
      </w:tr>
      <w:tr w:rsidR="00495094" w:rsidRPr="00495094" w14:paraId="2A594ECE" w14:textId="77777777" w:rsidTr="00490771">
        <w:trPr>
          <w:gridAfter w:val="1"/>
          <w:wAfter w:w="222" w:type="dxa"/>
          <w:trHeight w:val="300"/>
        </w:trPr>
        <w:tc>
          <w:tcPr>
            <w:tcW w:w="2977" w:type="dxa"/>
            <w:tcBorders>
              <w:top w:val="nil"/>
              <w:left w:val="nil"/>
              <w:bottom w:val="nil"/>
              <w:right w:val="nil"/>
            </w:tcBorders>
            <w:shd w:val="clear" w:color="auto" w:fill="auto"/>
            <w:noWrap/>
            <w:vAlign w:val="center"/>
            <w:hideMark/>
          </w:tcPr>
          <w:p w14:paraId="7ADEBA59" w14:textId="77777777" w:rsidR="00137EB8" w:rsidRPr="00495094" w:rsidRDefault="00137EB8" w:rsidP="004C529E">
            <w:pPr>
              <w:jc w:val="left"/>
              <w:rPr>
                <w:rFonts w:ascii="Arial" w:hAnsi="Arial" w:cs="Arial"/>
                <w:b/>
                <w:bCs/>
                <w:sz w:val="20"/>
                <w:szCs w:val="20"/>
                <w:lang w:val="en-PH" w:eastAsia="en-PH"/>
              </w:rPr>
            </w:pPr>
            <w:r w:rsidRPr="00495094">
              <w:rPr>
                <w:rFonts w:ascii="Arial" w:hAnsi="Arial" w:cs="Arial"/>
                <w:b/>
                <w:bCs/>
                <w:sz w:val="20"/>
                <w:szCs w:val="20"/>
                <w:lang w:val="en-PH" w:eastAsia="en-PH"/>
              </w:rPr>
              <w:t xml:space="preserve"> Assets </w:t>
            </w:r>
          </w:p>
        </w:tc>
        <w:tc>
          <w:tcPr>
            <w:tcW w:w="2348" w:type="dxa"/>
            <w:tcBorders>
              <w:top w:val="nil"/>
              <w:left w:val="nil"/>
              <w:bottom w:val="nil"/>
              <w:right w:val="nil"/>
            </w:tcBorders>
            <w:shd w:val="clear" w:color="auto" w:fill="auto"/>
            <w:vAlign w:val="center"/>
            <w:hideMark/>
          </w:tcPr>
          <w:p w14:paraId="4D9FD940" w14:textId="77777777" w:rsidR="00137EB8" w:rsidRPr="00495094" w:rsidRDefault="00137EB8" w:rsidP="00CD7C16">
            <w:pPr>
              <w:ind w:right="187"/>
              <w:jc w:val="left"/>
              <w:rPr>
                <w:rFonts w:ascii="Arial" w:hAnsi="Arial" w:cs="Arial"/>
                <w:b/>
                <w:bCs/>
                <w:sz w:val="20"/>
                <w:szCs w:val="20"/>
                <w:lang w:val="en-PH" w:eastAsia="en-PH"/>
              </w:rPr>
            </w:pPr>
          </w:p>
        </w:tc>
        <w:tc>
          <w:tcPr>
            <w:tcW w:w="1817" w:type="dxa"/>
            <w:tcBorders>
              <w:top w:val="nil"/>
              <w:left w:val="nil"/>
              <w:bottom w:val="nil"/>
              <w:right w:val="nil"/>
            </w:tcBorders>
            <w:shd w:val="clear" w:color="auto" w:fill="auto"/>
            <w:vAlign w:val="center"/>
            <w:hideMark/>
          </w:tcPr>
          <w:p w14:paraId="085E3BE7" w14:textId="77777777" w:rsidR="00137EB8" w:rsidRPr="00495094" w:rsidRDefault="00137EB8" w:rsidP="004C529E">
            <w:pPr>
              <w:jc w:val="left"/>
              <w:rPr>
                <w:rFonts w:ascii="Arial" w:hAnsi="Arial" w:cs="Arial"/>
                <w:sz w:val="20"/>
                <w:szCs w:val="20"/>
                <w:lang w:val="en-PH" w:eastAsia="en-PH"/>
              </w:rPr>
            </w:pPr>
          </w:p>
        </w:tc>
        <w:tc>
          <w:tcPr>
            <w:tcW w:w="1789" w:type="dxa"/>
            <w:tcBorders>
              <w:top w:val="nil"/>
              <w:left w:val="nil"/>
              <w:bottom w:val="nil"/>
              <w:right w:val="nil"/>
            </w:tcBorders>
            <w:shd w:val="clear" w:color="auto" w:fill="auto"/>
            <w:vAlign w:val="center"/>
            <w:hideMark/>
          </w:tcPr>
          <w:p w14:paraId="222CC39E" w14:textId="77777777" w:rsidR="00137EB8" w:rsidRPr="00495094" w:rsidRDefault="00137EB8" w:rsidP="004C529E">
            <w:pPr>
              <w:jc w:val="left"/>
              <w:rPr>
                <w:rFonts w:ascii="Arial" w:hAnsi="Arial" w:cs="Arial"/>
                <w:sz w:val="20"/>
                <w:szCs w:val="20"/>
                <w:lang w:val="en-PH" w:eastAsia="en-PH"/>
              </w:rPr>
            </w:pPr>
          </w:p>
        </w:tc>
      </w:tr>
      <w:tr w:rsidR="00495094" w:rsidRPr="00495094" w14:paraId="7B7928BF" w14:textId="77777777" w:rsidTr="00490771">
        <w:trPr>
          <w:gridAfter w:val="1"/>
          <w:wAfter w:w="222" w:type="dxa"/>
          <w:trHeight w:val="300"/>
        </w:trPr>
        <w:tc>
          <w:tcPr>
            <w:tcW w:w="2977" w:type="dxa"/>
            <w:tcBorders>
              <w:top w:val="nil"/>
              <w:left w:val="nil"/>
              <w:bottom w:val="nil"/>
              <w:right w:val="nil"/>
            </w:tcBorders>
            <w:shd w:val="clear" w:color="auto" w:fill="auto"/>
            <w:noWrap/>
            <w:vAlign w:val="bottom"/>
            <w:hideMark/>
          </w:tcPr>
          <w:p w14:paraId="3F30F679" w14:textId="5DA4B339"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Bank Premises, Furniture, Fixtures &amp; Equipment</w:t>
            </w:r>
            <w:r w:rsidR="00CD562E" w:rsidRPr="00495094">
              <w:rPr>
                <w:rFonts w:ascii="Arial" w:hAnsi="Arial" w:cs="Arial"/>
                <w:sz w:val="20"/>
                <w:szCs w:val="20"/>
                <w:lang w:val="en-PH" w:eastAsia="en-PH"/>
              </w:rPr>
              <w:t xml:space="preserve">, </w:t>
            </w:r>
          </w:p>
        </w:tc>
        <w:tc>
          <w:tcPr>
            <w:tcW w:w="2348" w:type="dxa"/>
            <w:tcBorders>
              <w:top w:val="nil"/>
              <w:left w:val="nil"/>
              <w:bottom w:val="nil"/>
              <w:right w:val="nil"/>
            </w:tcBorders>
            <w:shd w:val="clear" w:color="auto" w:fill="auto"/>
            <w:noWrap/>
            <w:vAlign w:val="center"/>
            <w:hideMark/>
          </w:tcPr>
          <w:p w14:paraId="546C5E4A" w14:textId="52FED455" w:rsidR="00137EB8" w:rsidRPr="00495094" w:rsidRDefault="005946E7" w:rsidP="008956EF">
            <w:pPr>
              <w:jc w:val="right"/>
              <w:rPr>
                <w:rFonts w:ascii="Arial" w:hAnsi="Arial" w:cs="Arial"/>
                <w:sz w:val="20"/>
                <w:szCs w:val="20"/>
                <w:lang w:val="en-PH" w:eastAsia="en-PH"/>
              </w:rPr>
            </w:pPr>
            <w:r w:rsidRPr="00495094">
              <w:rPr>
                <w:rFonts w:ascii="Arial" w:hAnsi="Arial" w:cs="Arial"/>
                <w:sz w:val="20"/>
                <w:szCs w:val="20"/>
                <w:lang w:val="en-PH" w:eastAsia="en-PH"/>
              </w:rPr>
              <w:t>160,368,690</w:t>
            </w:r>
          </w:p>
        </w:tc>
        <w:tc>
          <w:tcPr>
            <w:tcW w:w="1817" w:type="dxa"/>
            <w:tcBorders>
              <w:top w:val="nil"/>
              <w:left w:val="nil"/>
              <w:bottom w:val="nil"/>
              <w:right w:val="nil"/>
            </w:tcBorders>
            <w:shd w:val="clear" w:color="auto" w:fill="auto"/>
            <w:noWrap/>
            <w:vAlign w:val="center"/>
            <w:hideMark/>
          </w:tcPr>
          <w:p w14:paraId="5C6A3105" w14:textId="43E77751"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(2,500,993)</w:t>
            </w:r>
          </w:p>
        </w:tc>
        <w:tc>
          <w:tcPr>
            <w:tcW w:w="1789" w:type="dxa"/>
            <w:tcBorders>
              <w:top w:val="nil"/>
              <w:left w:val="nil"/>
              <w:bottom w:val="nil"/>
              <w:right w:val="nil"/>
            </w:tcBorders>
            <w:shd w:val="clear" w:color="auto" w:fill="auto"/>
            <w:noWrap/>
            <w:vAlign w:val="center"/>
            <w:hideMark/>
          </w:tcPr>
          <w:p w14:paraId="70E77B7C" w14:textId="11673FCD" w:rsidR="00137EB8" w:rsidRPr="00495094" w:rsidRDefault="005946E7" w:rsidP="008956EF">
            <w:pPr>
              <w:jc w:val="right"/>
              <w:rPr>
                <w:rFonts w:ascii="Arial" w:hAnsi="Arial" w:cs="Arial"/>
                <w:sz w:val="20"/>
                <w:szCs w:val="20"/>
                <w:lang w:val="en-PH" w:eastAsia="en-PH"/>
              </w:rPr>
            </w:pPr>
            <w:r w:rsidRPr="00495094">
              <w:rPr>
                <w:rFonts w:ascii="Arial" w:hAnsi="Arial" w:cs="Arial"/>
                <w:sz w:val="20"/>
                <w:szCs w:val="20"/>
                <w:lang w:val="en-PH" w:eastAsia="en-PH"/>
              </w:rPr>
              <w:t>157,867,697</w:t>
            </w:r>
          </w:p>
        </w:tc>
      </w:tr>
      <w:tr w:rsidR="00495094" w:rsidRPr="00495094" w14:paraId="0537F3B1" w14:textId="77777777" w:rsidTr="00490771">
        <w:trPr>
          <w:gridAfter w:val="1"/>
          <w:wAfter w:w="222" w:type="dxa"/>
          <w:trHeight w:val="266"/>
        </w:trPr>
        <w:tc>
          <w:tcPr>
            <w:tcW w:w="2977" w:type="dxa"/>
            <w:tcBorders>
              <w:top w:val="nil"/>
              <w:left w:val="nil"/>
              <w:bottom w:val="nil"/>
              <w:right w:val="nil"/>
            </w:tcBorders>
            <w:shd w:val="clear" w:color="auto" w:fill="auto"/>
            <w:noWrap/>
            <w:vAlign w:val="center"/>
            <w:hideMark/>
          </w:tcPr>
          <w:p w14:paraId="721D2C62" w14:textId="127C77EA"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Other Intangible </w:t>
            </w:r>
            <w:r w:rsidR="00CD562E" w:rsidRPr="00495094">
              <w:rPr>
                <w:rFonts w:ascii="Arial" w:hAnsi="Arial" w:cs="Arial"/>
                <w:sz w:val="20"/>
                <w:szCs w:val="20"/>
                <w:lang w:val="en-PH" w:eastAsia="en-PH"/>
              </w:rPr>
              <w:t xml:space="preserve">Asset, </w:t>
            </w:r>
          </w:p>
        </w:tc>
        <w:tc>
          <w:tcPr>
            <w:tcW w:w="2348" w:type="dxa"/>
            <w:tcBorders>
              <w:top w:val="nil"/>
              <w:left w:val="nil"/>
              <w:bottom w:val="nil"/>
              <w:right w:val="nil"/>
            </w:tcBorders>
            <w:shd w:val="clear" w:color="auto" w:fill="auto"/>
            <w:noWrap/>
            <w:vAlign w:val="center"/>
            <w:hideMark/>
          </w:tcPr>
          <w:p w14:paraId="643C9553" w14:textId="160A8DCA" w:rsidR="00137EB8" w:rsidRPr="00495094" w:rsidRDefault="007D7A6B" w:rsidP="007D7A6B">
            <w:pPr>
              <w:jc w:val="right"/>
              <w:rPr>
                <w:rFonts w:ascii="Arial" w:hAnsi="Arial" w:cs="Arial"/>
                <w:sz w:val="20"/>
                <w:szCs w:val="20"/>
                <w:lang w:val="en-PH" w:eastAsia="en-PH"/>
              </w:rPr>
            </w:pPr>
            <w:r w:rsidRPr="00495094">
              <w:rPr>
                <w:rFonts w:ascii="Arial" w:hAnsi="Arial" w:cs="Arial"/>
                <w:sz w:val="20"/>
                <w:szCs w:val="20"/>
                <w:lang w:val="en-PH" w:eastAsia="en-PH"/>
              </w:rPr>
              <w:t>18,003,160</w:t>
            </w:r>
          </w:p>
        </w:tc>
        <w:tc>
          <w:tcPr>
            <w:tcW w:w="1817" w:type="dxa"/>
            <w:tcBorders>
              <w:top w:val="nil"/>
              <w:left w:val="nil"/>
              <w:bottom w:val="nil"/>
              <w:right w:val="nil"/>
            </w:tcBorders>
            <w:shd w:val="clear" w:color="auto" w:fill="auto"/>
            <w:noWrap/>
            <w:vAlign w:val="center"/>
            <w:hideMark/>
          </w:tcPr>
          <w:p w14:paraId="03397662" w14:textId="40F78EA1" w:rsidR="00137EB8" w:rsidRPr="00495094" w:rsidRDefault="00B512E4" w:rsidP="008956EF">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333</w:t>
            </w:r>
          </w:p>
        </w:tc>
        <w:tc>
          <w:tcPr>
            <w:tcW w:w="1789" w:type="dxa"/>
            <w:tcBorders>
              <w:top w:val="nil"/>
              <w:left w:val="nil"/>
              <w:bottom w:val="nil"/>
              <w:right w:val="nil"/>
            </w:tcBorders>
            <w:shd w:val="clear" w:color="auto" w:fill="auto"/>
            <w:noWrap/>
            <w:vAlign w:val="center"/>
            <w:hideMark/>
          </w:tcPr>
          <w:p w14:paraId="4E7F504A" w14:textId="3A0676E2" w:rsidR="00137EB8" w:rsidRPr="00495094" w:rsidRDefault="007D7A6B" w:rsidP="008956EF">
            <w:pPr>
              <w:jc w:val="right"/>
              <w:rPr>
                <w:rFonts w:ascii="Arial" w:hAnsi="Arial" w:cs="Arial"/>
                <w:sz w:val="20"/>
                <w:szCs w:val="20"/>
                <w:lang w:val="en-PH" w:eastAsia="en-PH"/>
              </w:rPr>
            </w:pPr>
            <w:r w:rsidRPr="00495094">
              <w:rPr>
                <w:rFonts w:ascii="Arial" w:hAnsi="Arial" w:cs="Arial"/>
                <w:sz w:val="20"/>
                <w:szCs w:val="20"/>
                <w:lang w:val="en-PH" w:eastAsia="en-PH"/>
              </w:rPr>
              <w:t>18,003,493</w:t>
            </w:r>
          </w:p>
        </w:tc>
      </w:tr>
      <w:tr w:rsidR="00495094" w:rsidRPr="00495094" w14:paraId="06DE28C9" w14:textId="77777777" w:rsidTr="00490771">
        <w:trPr>
          <w:gridAfter w:val="1"/>
          <w:wAfter w:w="222" w:type="dxa"/>
          <w:trHeight w:val="315"/>
        </w:trPr>
        <w:tc>
          <w:tcPr>
            <w:tcW w:w="2977" w:type="dxa"/>
            <w:tcBorders>
              <w:top w:val="nil"/>
              <w:left w:val="nil"/>
              <w:bottom w:val="single" w:sz="8" w:space="0" w:color="auto"/>
              <w:right w:val="nil"/>
            </w:tcBorders>
            <w:shd w:val="clear" w:color="auto" w:fill="auto"/>
            <w:noWrap/>
            <w:vAlign w:val="center"/>
            <w:hideMark/>
          </w:tcPr>
          <w:p w14:paraId="4E8C7862" w14:textId="4C10F631"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Other </w:t>
            </w:r>
            <w:r w:rsidR="00CD562E" w:rsidRPr="00495094">
              <w:rPr>
                <w:rFonts w:ascii="Arial" w:hAnsi="Arial" w:cs="Arial"/>
                <w:sz w:val="20"/>
                <w:szCs w:val="20"/>
                <w:lang w:val="en-PH" w:eastAsia="en-PH"/>
              </w:rPr>
              <w:t>Assets</w:t>
            </w:r>
          </w:p>
        </w:tc>
        <w:tc>
          <w:tcPr>
            <w:tcW w:w="2348" w:type="dxa"/>
            <w:tcBorders>
              <w:top w:val="nil"/>
              <w:left w:val="nil"/>
              <w:bottom w:val="single" w:sz="8" w:space="0" w:color="auto"/>
              <w:right w:val="nil"/>
            </w:tcBorders>
            <w:shd w:val="clear" w:color="auto" w:fill="auto"/>
            <w:noWrap/>
            <w:vAlign w:val="center"/>
            <w:hideMark/>
          </w:tcPr>
          <w:p w14:paraId="7DF33272" w14:textId="648C0B68" w:rsidR="00137EB8" w:rsidRPr="00495094" w:rsidRDefault="007D7A6B" w:rsidP="008956EF">
            <w:pPr>
              <w:jc w:val="right"/>
              <w:rPr>
                <w:rFonts w:ascii="Arial" w:hAnsi="Arial" w:cs="Arial"/>
                <w:sz w:val="20"/>
                <w:szCs w:val="20"/>
                <w:lang w:val="en-PH" w:eastAsia="en-PH"/>
              </w:rPr>
            </w:pPr>
            <w:r w:rsidRPr="00495094">
              <w:rPr>
                <w:rFonts w:ascii="Arial" w:hAnsi="Arial" w:cs="Arial"/>
                <w:sz w:val="20"/>
                <w:szCs w:val="20"/>
                <w:lang w:val="en-PH" w:eastAsia="en-PH"/>
              </w:rPr>
              <w:t>94,709,655</w:t>
            </w:r>
          </w:p>
        </w:tc>
        <w:tc>
          <w:tcPr>
            <w:tcW w:w="1817" w:type="dxa"/>
            <w:tcBorders>
              <w:top w:val="nil"/>
              <w:left w:val="nil"/>
              <w:bottom w:val="single" w:sz="8" w:space="0" w:color="auto"/>
              <w:right w:val="nil"/>
            </w:tcBorders>
            <w:shd w:val="clear" w:color="auto" w:fill="auto"/>
            <w:noWrap/>
            <w:vAlign w:val="center"/>
            <w:hideMark/>
          </w:tcPr>
          <w:p w14:paraId="75E3405D" w14:textId="437ADF69" w:rsidR="00137EB8" w:rsidRPr="00495094" w:rsidRDefault="00B512E4" w:rsidP="008956EF">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960,574</w:t>
            </w:r>
          </w:p>
        </w:tc>
        <w:tc>
          <w:tcPr>
            <w:tcW w:w="1789" w:type="dxa"/>
            <w:tcBorders>
              <w:top w:val="nil"/>
              <w:left w:val="nil"/>
              <w:bottom w:val="single" w:sz="8" w:space="0" w:color="auto"/>
              <w:right w:val="nil"/>
            </w:tcBorders>
            <w:shd w:val="clear" w:color="auto" w:fill="auto"/>
            <w:noWrap/>
            <w:vAlign w:val="center"/>
            <w:hideMark/>
          </w:tcPr>
          <w:p w14:paraId="2A2920DB" w14:textId="746DA8D0" w:rsidR="00137EB8" w:rsidRPr="00495094" w:rsidRDefault="007D7A6B" w:rsidP="008956EF">
            <w:pPr>
              <w:jc w:val="right"/>
              <w:rPr>
                <w:rFonts w:ascii="Arial" w:hAnsi="Arial" w:cs="Arial"/>
                <w:sz w:val="20"/>
                <w:szCs w:val="20"/>
                <w:lang w:val="en-PH" w:eastAsia="en-PH"/>
              </w:rPr>
            </w:pPr>
            <w:r w:rsidRPr="00495094">
              <w:rPr>
                <w:rFonts w:ascii="Arial" w:hAnsi="Arial" w:cs="Arial"/>
                <w:sz w:val="20"/>
                <w:szCs w:val="20"/>
                <w:lang w:val="en-PH" w:eastAsia="en-PH"/>
              </w:rPr>
              <w:t>95,670,229</w:t>
            </w:r>
          </w:p>
        </w:tc>
      </w:tr>
      <w:tr w:rsidR="00495094" w:rsidRPr="00495094" w14:paraId="754DEBA8" w14:textId="77777777" w:rsidTr="00490771">
        <w:trPr>
          <w:gridAfter w:val="1"/>
          <w:wAfter w:w="222" w:type="dxa"/>
          <w:trHeight w:val="315"/>
        </w:trPr>
        <w:tc>
          <w:tcPr>
            <w:tcW w:w="2977" w:type="dxa"/>
            <w:tcBorders>
              <w:top w:val="nil"/>
              <w:left w:val="nil"/>
              <w:bottom w:val="double" w:sz="6" w:space="0" w:color="auto"/>
              <w:right w:val="nil"/>
            </w:tcBorders>
            <w:shd w:val="clear" w:color="auto" w:fill="auto"/>
            <w:noWrap/>
            <w:vAlign w:val="center"/>
            <w:hideMark/>
          </w:tcPr>
          <w:p w14:paraId="13CF557A" w14:textId="77777777" w:rsidR="00137EB8" w:rsidRPr="00495094" w:rsidRDefault="00137EB8" w:rsidP="004C529E">
            <w:pPr>
              <w:jc w:val="left"/>
              <w:rPr>
                <w:rFonts w:ascii="Arial" w:hAnsi="Arial" w:cs="Arial"/>
                <w:sz w:val="20"/>
                <w:szCs w:val="20"/>
                <w:highlight w:val="yellow"/>
                <w:lang w:val="en-PH" w:eastAsia="en-PH"/>
              </w:rPr>
            </w:pPr>
            <w:r w:rsidRPr="00495094">
              <w:rPr>
                <w:rFonts w:ascii="Arial" w:hAnsi="Arial" w:cs="Arial"/>
                <w:sz w:val="20"/>
                <w:szCs w:val="20"/>
                <w:lang w:val="en-PH" w:eastAsia="en-PH"/>
              </w:rPr>
              <w:t> </w:t>
            </w:r>
          </w:p>
        </w:tc>
        <w:tc>
          <w:tcPr>
            <w:tcW w:w="2348" w:type="dxa"/>
            <w:tcBorders>
              <w:top w:val="nil"/>
              <w:left w:val="nil"/>
              <w:bottom w:val="double" w:sz="6" w:space="0" w:color="auto"/>
              <w:right w:val="nil"/>
            </w:tcBorders>
            <w:shd w:val="clear" w:color="auto" w:fill="auto"/>
            <w:noWrap/>
            <w:vAlign w:val="center"/>
            <w:hideMark/>
          </w:tcPr>
          <w:p w14:paraId="140EF47A" w14:textId="228343B5" w:rsidR="00137EB8" w:rsidRPr="00495094" w:rsidRDefault="00137EB8" w:rsidP="008956EF">
            <w:pPr>
              <w:jc w:val="right"/>
              <w:rPr>
                <w:rFonts w:ascii="Arial" w:hAnsi="Arial" w:cs="Arial"/>
                <w:sz w:val="20"/>
                <w:szCs w:val="20"/>
                <w:highlight w:val="yellow"/>
                <w:lang w:val="en-PH" w:eastAsia="en-PH"/>
              </w:rPr>
            </w:pPr>
          </w:p>
        </w:tc>
        <w:tc>
          <w:tcPr>
            <w:tcW w:w="1817" w:type="dxa"/>
            <w:tcBorders>
              <w:top w:val="nil"/>
              <w:left w:val="nil"/>
              <w:bottom w:val="double" w:sz="6" w:space="0" w:color="auto"/>
              <w:right w:val="nil"/>
            </w:tcBorders>
            <w:shd w:val="clear" w:color="auto" w:fill="auto"/>
            <w:noWrap/>
            <w:vAlign w:val="center"/>
            <w:hideMark/>
          </w:tcPr>
          <w:p w14:paraId="1CC5A6EB" w14:textId="0977A93C" w:rsidR="00137EB8" w:rsidRPr="00495094" w:rsidRDefault="00137EB8" w:rsidP="008956EF">
            <w:pPr>
              <w:jc w:val="right"/>
              <w:rPr>
                <w:rFonts w:ascii="Arial" w:hAnsi="Arial" w:cs="Arial"/>
                <w:sz w:val="20"/>
                <w:szCs w:val="20"/>
                <w:highlight w:val="yellow"/>
                <w:lang w:val="en-PH" w:eastAsia="en-PH"/>
              </w:rPr>
            </w:pPr>
            <w:r w:rsidRPr="00495094">
              <w:rPr>
                <w:rFonts w:ascii="Arial" w:hAnsi="Arial" w:cs="Arial"/>
                <w:sz w:val="20"/>
                <w:szCs w:val="20"/>
                <w:lang w:val="en-PH" w:eastAsia="en-PH"/>
              </w:rPr>
              <w:t>(1,540,086)</w:t>
            </w:r>
          </w:p>
        </w:tc>
        <w:tc>
          <w:tcPr>
            <w:tcW w:w="1789" w:type="dxa"/>
            <w:tcBorders>
              <w:top w:val="nil"/>
              <w:left w:val="nil"/>
              <w:bottom w:val="double" w:sz="6" w:space="0" w:color="auto"/>
              <w:right w:val="nil"/>
            </w:tcBorders>
            <w:shd w:val="clear" w:color="auto" w:fill="auto"/>
            <w:noWrap/>
            <w:vAlign w:val="center"/>
            <w:hideMark/>
          </w:tcPr>
          <w:p w14:paraId="65A13A7E" w14:textId="4EA407A9" w:rsidR="00137EB8" w:rsidRPr="00495094" w:rsidRDefault="00137EB8" w:rsidP="008956EF">
            <w:pPr>
              <w:jc w:val="right"/>
              <w:rPr>
                <w:rFonts w:ascii="Arial" w:hAnsi="Arial" w:cs="Arial"/>
                <w:sz w:val="20"/>
                <w:szCs w:val="20"/>
                <w:highlight w:val="yellow"/>
                <w:lang w:val="en-PH" w:eastAsia="en-PH"/>
              </w:rPr>
            </w:pPr>
          </w:p>
        </w:tc>
      </w:tr>
      <w:tr w:rsidR="00495094" w:rsidRPr="00495094" w14:paraId="23BBF87E" w14:textId="77777777" w:rsidTr="00490771">
        <w:trPr>
          <w:gridAfter w:val="1"/>
          <w:wAfter w:w="222" w:type="dxa"/>
          <w:trHeight w:val="300"/>
        </w:trPr>
        <w:tc>
          <w:tcPr>
            <w:tcW w:w="2977" w:type="dxa"/>
            <w:tcBorders>
              <w:top w:val="nil"/>
              <w:left w:val="nil"/>
              <w:bottom w:val="nil"/>
              <w:right w:val="nil"/>
            </w:tcBorders>
            <w:shd w:val="clear" w:color="auto" w:fill="auto"/>
            <w:noWrap/>
            <w:vAlign w:val="center"/>
            <w:hideMark/>
          </w:tcPr>
          <w:p w14:paraId="182E81E3" w14:textId="77777777" w:rsidR="00137EB8" w:rsidRPr="00495094" w:rsidRDefault="00137EB8" w:rsidP="004C529E">
            <w:pPr>
              <w:rPr>
                <w:rFonts w:ascii="Arial" w:hAnsi="Arial" w:cs="Arial"/>
                <w:b/>
                <w:bCs/>
                <w:sz w:val="20"/>
                <w:szCs w:val="20"/>
                <w:lang w:val="en-PH" w:eastAsia="en-PH"/>
              </w:rPr>
            </w:pPr>
            <w:r w:rsidRPr="00495094">
              <w:rPr>
                <w:rFonts w:ascii="Arial" w:hAnsi="Arial" w:cs="Arial"/>
                <w:b/>
                <w:bCs/>
                <w:sz w:val="20"/>
                <w:szCs w:val="20"/>
                <w:lang w:val="en-PH" w:eastAsia="en-PH"/>
              </w:rPr>
              <w:t xml:space="preserve"> Liabilities </w:t>
            </w:r>
          </w:p>
        </w:tc>
        <w:tc>
          <w:tcPr>
            <w:tcW w:w="2348" w:type="dxa"/>
            <w:tcBorders>
              <w:top w:val="nil"/>
              <w:left w:val="nil"/>
              <w:bottom w:val="nil"/>
              <w:right w:val="nil"/>
            </w:tcBorders>
            <w:shd w:val="clear" w:color="auto" w:fill="auto"/>
            <w:noWrap/>
            <w:vAlign w:val="center"/>
            <w:hideMark/>
          </w:tcPr>
          <w:p w14:paraId="4B399F5B" w14:textId="77777777" w:rsidR="00137EB8" w:rsidRPr="00495094" w:rsidRDefault="00137EB8" w:rsidP="004C529E">
            <w:pPr>
              <w:rPr>
                <w:rFonts w:ascii="Arial" w:hAnsi="Arial" w:cs="Arial"/>
                <w:b/>
                <w:bCs/>
                <w:sz w:val="20"/>
                <w:szCs w:val="20"/>
                <w:lang w:val="en-PH" w:eastAsia="en-PH"/>
              </w:rPr>
            </w:pPr>
          </w:p>
        </w:tc>
        <w:tc>
          <w:tcPr>
            <w:tcW w:w="1817" w:type="dxa"/>
            <w:tcBorders>
              <w:top w:val="nil"/>
              <w:left w:val="nil"/>
              <w:bottom w:val="nil"/>
              <w:right w:val="nil"/>
            </w:tcBorders>
            <w:shd w:val="clear" w:color="auto" w:fill="auto"/>
            <w:noWrap/>
            <w:vAlign w:val="center"/>
            <w:hideMark/>
          </w:tcPr>
          <w:p w14:paraId="7CA3413E" w14:textId="77777777" w:rsidR="00137EB8" w:rsidRPr="00495094" w:rsidRDefault="00137EB8" w:rsidP="004C529E">
            <w:pPr>
              <w:jc w:val="left"/>
              <w:rPr>
                <w:rFonts w:ascii="Arial" w:hAnsi="Arial" w:cs="Arial"/>
                <w:sz w:val="20"/>
                <w:szCs w:val="20"/>
                <w:lang w:val="en-PH" w:eastAsia="en-PH"/>
              </w:rPr>
            </w:pPr>
          </w:p>
        </w:tc>
        <w:tc>
          <w:tcPr>
            <w:tcW w:w="1789" w:type="dxa"/>
            <w:tcBorders>
              <w:top w:val="nil"/>
              <w:left w:val="nil"/>
              <w:bottom w:val="nil"/>
              <w:right w:val="nil"/>
            </w:tcBorders>
            <w:shd w:val="clear" w:color="auto" w:fill="auto"/>
            <w:noWrap/>
            <w:vAlign w:val="center"/>
            <w:hideMark/>
          </w:tcPr>
          <w:p w14:paraId="1E0AE9E7" w14:textId="77777777" w:rsidR="00137EB8" w:rsidRPr="00495094" w:rsidRDefault="00137EB8" w:rsidP="004C529E">
            <w:pPr>
              <w:jc w:val="right"/>
              <w:rPr>
                <w:rFonts w:ascii="Arial" w:hAnsi="Arial" w:cs="Arial"/>
                <w:sz w:val="20"/>
                <w:szCs w:val="20"/>
                <w:lang w:val="en-PH" w:eastAsia="en-PH"/>
              </w:rPr>
            </w:pPr>
          </w:p>
        </w:tc>
      </w:tr>
      <w:tr w:rsidR="00495094" w:rsidRPr="00495094" w14:paraId="726CF7C7" w14:textId="77777777" w:rsidTr="00490771">
        <w:trPr>
          <w:gridAfter w:val="1"/>
          <w:wAfter w:w="222" w:type="dxa"/>
          <w:trHeight w:val="300"/>
        </w:trPr>
        <w:tc>
          <w:tcPr>
            <w:tcW w:w="2977" w:type="dxa"/>
            <w:tcBorders>
              <w:top w:val="nil"/>
              <w:left w:val="nil"/>
              <w:bottom w:val="nil"/>
              <w:right w:val="nil"/>
            </w:tcBorders>
            <w:shd w:val="clear" w:color="auto" w:fill="auto"/>
            <w:noWrap/>
            <w:vAlign w:val="center"/>
            <w:hideMark/>
          </w:tcPr>
          <w:p w14:paraId="7D38CEBD" w14:textId="41C199C1" w:rsidR="00137EB8" w:rsidRPr="00495094" w:rsidRDefault="00137EB8" w:rsidP="004C529E">
            <w:pPr>
              <w:rPr>
                <w:rFonts w:ascii="Arial" w:hAnsi="Arial" w:cs="Arial"/>
                <w:sz w:val="20"/>
                <w:szCs w:val="20"/>
                <w:lang w:val="en-PH" w:eastAsia="en-PH"/>
              </w:rPr>
            </w:pPr>
            <w:r w:rsidRPr="00495094">
              <w:rPr>
                <w:rFonts w:ascii="Arial" w:hAnsi="Arial" w:cs="Arial"/>
                <w:sz w:val="20"/>
                <w:szCs w:val="20"/>
                <w:lang w:val="en-PH" w:eastAsia="en-PH"/>
              </w:rPr>
              <w:t xml:space="preserve"> Accrued </w:t>
            </w:r>
            <w:r w:rsidR="00CD562E" w:rsidRPr="00495094">
              <w:rPr>
                <w:rFonts w:ascii="Arial" w:hAnsi="Arial" w:cs="Arial"/>
                <w:sz w:val="20"/>
                <w:szCs w:val="20"/>
                <w:lang w:val="en-PH" w:eastAsia="en-PH"/>
              </w:rPr>
              <w:t>Expenses</w:t>
            </w:r>
          </w:p>
        </w:tc>
        <w:tc>
          <w:tcPr>
            <w:tcW w:w="2348" w:type="dxa"/>
            <w:tcBorders>
              <w:top w:val="nil"/>
              <w:left w:val="nil"/>
              <w:bottom w:val="nil"/>
              <w:right w:val="nil"/>
            </w:tcBorders>
            <w:shd w:val="clear" w:color="auto" w:fill="auto"/>
            <w:noWrap/>
            <w:vAlign w:val="center"/>
            <w:hideMark/>
          </w:tcPr>
          <w:p w14:paraId="0760281E" w14:textId="408343FB"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44,873,153</w:t>
            </w:r>
          </w:p>
        </w:tc>
        <w:tc>
          <w:tcPr>
            <w:tcW w:w="1817" w:type="dxa"/>
            <w:tcBorders>
              <w:top w:val="nil"/>
              <w:left w:val="nil"/>
              <w:bottom w:val="nil"/>
              <w:right w:val="nil"/>
            </w:tcBorders>
            <w:shd w:val="clear" w:color="auto" w:fill="auto"/>
            <w:noWrap/>
            <w:vAlign w:val="center"/>
            <w:hideMark/>
          </w:tcPr>
          <w:p w14:paraId="0EEFB954" w14:textId="0662B00E"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4,755,238</w:t>
            </w:r>
          </w:p>
        </w:tc>
        <w:tc>
          <w:tcPr>
            <w:tcW w:w="1789" w:type="dxa"/>
            <w:tcBorders>
              <w:top w:val="nil"/>
              <w:left w:val="nil"/>
              <w:bottom w:val="nil"/>
              <w:right w:val="nil"/>
            </w:tcBorders>
            <w:shd w:val="clear" w:color="auto" w:fill="auto"/>
            <w:noWrap/>
            <w:vAlign w:val="center"/>
            <w:hideMark/>
          </w:tcPr>
          <w:p w14:paraId="1DA5885C" w14:textId="50259E45"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49,628,391</w:t>
            </w:r>
          </w:p>
        </w:tc>
      </w:tr>
      <w:tr w:rsidR="00495094" w:rsidRPr="00495094" w14:paraId="09DB42C4" w14:textId="77777777" w:rsidTr="00490771">
        <w:trPr>
          <w:gridAfter w:val="1"/>
          <w:wAfter w:w="222" w:type="dxa"/>
          <w:trHeight w:val="315"/>
        </w:trPr>
        <w:tc>
          <w:tcPr>
            <w:tcW w:w="2977" w:type="dxa"/>
            <w:tcBorders>
              <w:top w:val="nil"/>
              <w:left w:val="nil"/>
              <w:bottom w:val="single" w:sz="8" w:space="0" w:color="auto"/>
              <w:right w:val="nil"/>
            </w:tcBorders>
            <w:shd w:val="clear" w:color="auto" w:fill="auto"/>
            <w:noWrap/>
            <w:vAlign w:val="center"/>
            <w:hideMark/>
          </w:tcPr>
          <w:p w14:paraId="596A7CA3" w14:textId="3B3466CB" w:rsidR="00137EB8" w:rsidRPr="00495094" w:rsidRDefault="00137EB8" w:rsidP="004C529E">
            <w:pPr>
              <w:rPr>
                <w:rFonts w:ascii="Arial" w:hAnsi="Arial" w:cs="Arial"/>
                <w:sz w:val="20"/>
                <w:szCs w:val="20"/>
                <w:lang w:val="en-PH" w:eastAsia="en-PH"/>
              </w:rPr>
            </w:pPr>
            <w:r w:rsidRPr="00495094">
              <w:rPr>
                <w:rFonts w:ascii="Arial" w:hAnsi="Arial" w:cs="Arial"/>
                <w:sz w:val="20"/>
                <w:szCs w:val="20"/>
                <w:lang w:val="en-PH" w:eastAsia="en-PH"/>
              </w:rPr>
              <w:t xml:space="preserve"> Other </w:t>
            </w:r>
            <w:r w:rsidR="00CD562E" w:rsidRPr="00495094">
              <w:rPr>
                <w:rFonts w:ascii="Arial" w:hAnsi="Arial" w:cs="Arial"/>
                <w:sz w:val="20"/>
                <w:szCs w:val="20"/>
                <w:lang w:val="en-PH" w:eastAsia="en-PH"/>
              </w:rPr>
              <w:t>Liabilities</w:t>
            </w:r>
          </w:p>
        </w:tc>
        <w:tc>
          <w:tcPr>
            <w:tcW w:w="2348" w:type="dxa"/>
            <w:tcBorders>
              <w:top w:val="nil"/>
              <w:left w:val="nil"/>
              <w:bottom w:val="single" w:sz="8" w:space="0" w:color="auto"/>
              <w:right w:val="nil"/>
            </w:tcBorders>
            <w:shd w:val="clear" w:color="auto" w:fill="auto"/>
            <w:noWrap/>
            <w:vAlign w:val="center"/>
            <w:hideMark/>
          </w:tcPr>
          <w:p w14:paraId="653C500E" w14:textId="7A07A726"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54,757,023</w:t>
            </w:r>
          </w:p>
        </w:tc>
        <w:tc>
          <w:tcPr>
            <w:tcW w:w="1817" w:type="dxa"/>
            <w:tcBorders>
              <w:top w:val="nil"/>
              <w:left w:val="nil"/>
              <w:bottom w:val="single" w:sz="8" w:space="0" w:color="auto"/>
              <w:right w:val="nil"/>
            </w:tcBorders>
            <w:shd w:val="clear" w:color="auto" w:fill="auto"/>
            <w:noWrap/>
            <w:vAlign w:val="center"/>
            <w:hideMark/>
          </w:tcPr>
          <w:p w14:paraId="55D816EE" w14:textId="02B8C30E" w:rsidR="00137EB8" w:rsidRPr="00495094" w:rsidRDefault="00B512E4" w:rsidP="008956EF">
            <w:pPr>
              <w:jc w:val="right"/>
              <w:rPr>
                <w:rFonts w:ascii="Arial" w:hAnsi="Arial" w:cs="Arial"/>
                <w:sz w:val="20"/>
                <w:szCs w:val="20"/>
                <w:lang w:val="en-PH" w:eastAsia="en-PH"/>
              </w:rPr>
            </w:pPr>
            <w:r w:rsidRPr="00495094">
              <w:rPr>
                <w:rFonts w:ascii="Arial" w:hAnsi="Arial" w:cs="Arial"/>
                <w:sz w:val="20"/>
                <w:szCs w:val="20"/>
                <w:lang w:val="en-PH" w:eastAsia="en-PH"/>
              </w:rPr>
              <w:t xml:space="preserve">  </w:t>
            </w:r>
            <w:r w:rsidR="00137EB8" w:rsidRPr="00495094">
              <w:rPr>
                <w:rFonts w:ascii="Arial" w:hAnsi="Arial" w:cs="Arial"/>
                <w:sz w:val="20"/>
                <w:szCs w:val="20"/>
                <w:lang w:val="en-PH" w:eastAsia="en-PH"/>
              </w:rPr>
              <w:t>187,627</w:t>
            </w:r>
          </w:p>
        </w:tc>
        <w:tc>
          <w:tcPr>
            <w:tcW w:w="1789" w:type="dxa"/>
            <w:tcBorders>
              <w:top w:val="nil"/>
              <w:left w:val="nil"/>
              <w:bottom w:val="single" w:sz="8" w:space="0" w:color="auto"/>
              <w:right w:val="nil"/>
            </w:tcBorders>
            <w:shd w:val="clear" w:color="auto" w:fill="auto"/>
            <w:noWrap/>
            <w:vAlign w:val="center"/>
            <w:hideMark/>
          </w:tcPr>
          <w:p w14:paraId="5DF48D3D" w14:textId="1906E987"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54,944,650</w:t>
            </w:r>
          </w:p>
        </w:tc>
      </w:tr>
      <w:tr w:rsidR="00495094" w:rsidRPr="00495094" w14:paraId="5E75C1F1" w14:textId="77777777" w:rsidTr="00490771">
        <w:trPr>
          <w:gridAfter w:val="1"/>
          <w:wAfter w:w="222" w:type="dxa"/>
          <w:trHeight w:val="315"/>
        </w:trPr>
        <w:tc>
          <w:tcPr>
            <w:tcW w:w="2977" w:type="dxa"/>
            <w:tcBorders>
              <w:top w:val="single" w:sz="8" w:space="0" w:color="auto"/>
              <w:left w:val="nil"/>
              <w:bottom w:val="double" w:sz="4" w:space="0" w:color="auto"/>
              <w:right w:val="nil"/>
            </w:tcBorders>
            <w:shd w:val="clear" w:color="auto" w:fill="auto"/>
            <w:noWrap/>
            <w:vAlign w:val="center"/>
          </w:tcPr>
          <w:p w14:paraId="2A71C030" w14:textId="77777777" w:rsidR="00FE0607" w:rsidRPr="00495094" w:rsidRDefault="00FE0607" w:rsidP="004C529E">
            <w:pPr>
              <w:rPr>
                <w:rFonts w:ascii="Arial" w:hAnsi="Arial" w:cs="Arial"/>
                <w:sz w:val="20"/>
                <w:szCs w:val="20"/>
                <w:lang w:val="en-PH" w:eastAsia="en-PH"/>
              </w:rPr>
            </w:pPr>
          </w:p>
        </w:tc>
        <w:tc>
          <w:tcPr>
            <w:tcW w:w="2348" w:type="dxa"/>
            <w:tcBorders>
              <w:top w:val="single" w:sz="8" w:space="0" w:color="auto"/>
              <w:left w:val="nil"/>
              <w:bottom w:val="double" w:sz="4" w:space="0" w:color="auto"/>
              <w:right w:val="nil"/>
            </w:tcBorders>
            <w:shd w:val="clear" w:color="auto" w:fill="auto"/>
            <w:noWrap/>
            <w:vAlign w:val="center"/>
          </w:tcPr>
          <w:p w14:paraId="68E6B5C5" w14:textId="77777777" w:rsidR="00FE0607" w:rsidRPr="00495094" w:rsidRDefault="00FE0607" w:rsidP="008956EF">
            <w:pPr>
              <w:jc w:val="right"/>
              <w:rPr>
                <w:rFonts w:ascii="Arial" w:hAnsi="Arial" w:cs="Arial"/>
                <w:sz w:val="20"/>
                <w:szCs w:val="20"/>
                <w:lang w:val="en-PH" w:eastAsia="en-PH"/>
              </w:rPr>
            </w:pPr>
          </w:p>
        </w:tc>
        <w:tc>
          <w:tcPr>
            <w:tcW w:w="1817" w:type="dxa"/>
            <w:tcBorders>
              <w:top w:val="single" w:sz="8" w:space="0" w:color="auto"/>
              <w:left w:val="nil"/>
              <w:bottom w:val="double" w:sz="4" w:space="0" w:color="auto"/>
              <w:right w:val="nil"/>
            </w:tcBorders>
            <w:shd w:val="clear" w:color="auto" w:fill="auto"/>
            <w:noWrap/>
            <w:vAlign w:val="center"/>
          </w:tcPr>
          <w:p w14:paraId="75D83994" w14:textId="32230536" w:rsidR="00FE0607" w:rsidRPr="00495094" w:rsidRDefault="00FE0607" w:rsidP="008956EF">
            <w:pPr>
              <w:jc w:val="right"/>
              <w:rPr>
                <w:rFonts w:ascii="Arial" w:hAnsi="Arial" w:cs="Arial"/>
                <w:sz w:val="20"/>
                <w:szCs w:val="20"/>
                <w:lang w:val="en-PH" w:eastAsia="en-PH"/>
              </w:rPr>
            </w:pPr>
            <w:r w:rsidRPr="00495094">
              <w:rPr>
                <w:rFonts w:ascii="Arial" w:hAnsi="Arial" w:cs="Arial"/>
                <w:sz w:val="20"/>
                <w:szCs w:val="20"/>
                <w:lang w:val="en-PH" w:eastAsia="en-PH"/>
              </w:rPr>
              <w:t>4,942,865</w:t>
            </w:r>
          </w:p>
        </w:tc>
        <w:tc>
          <w:tcPr>
            <w:tcW w:w="1789" w:type="dxa"/>
            <w:tcBorders>
              <w:top w:val="single" w:sz="8" w:space="0" w:color="auto"/>
              <w:left w:val="nil"/>
              <w:bottom w:val="double" w:sz="4" w:space="0" w:color="auto"/>
              <w:right w:val="nil"/>
            </w:tcBorders>
            <w:shd w:val="clear" w:color="auto" w:fill="auto"/>
            <w:noWrap/>
            <w:vAlign w:val="center"/>
          </w:tcPr>
          <w:p w14:paraId="0325DC01" w14:textId="77777777" w:rsidR="00FE0607" w:rsidRPr="00495094" w:rsidRDefault="00FE0607" w:rsidP="008956EF">
            <w:pPr>
              <w:jc w:val="right"/>
              <w:rPr>
                <w:rFonts w:ascii="Arial" w:hAnsi="Arial" w:cs="Arial"/>
                <w:sz w:val="20"/>
                <w:szCs w:val="20"/>
                <w:lang w:val="en-PH" w:eastAsia="en-PH"/>
              </w:rPr>
            </w:pPr>
          </w:p>
        </w:tc>
      </w:tr>
      <w:tr w:rsidR="00495094" w:rsidRPr="00495094" w14:paraId="2F3F6FCD" w14:textId="77777777" w:rsidTr="008F128A">
        <w:trPr>
          <w:gridAfter w:val="1"/>
          <w:wAfter w:w="222" w:type="dxa"/>
          <w:trHeight w:val="300"/>
        </w:trPr>
        <w:tc>
          <w:tcPr>
            <w:tcW w:w="2977" w:type="dxa"/>
            <w:tcBorders>
              <w:top w:val="nil"/>
              <w:left w:val="nil"/>
              <w:right w:val="nil"/>
            </w:tcBorders>
            <w:shd w:val="clear" w:color="auto" w:fill="auto"/>
            <w:noWrap/>
            <w:vAlign w:val="center"/>
            <w:hideMark/>
          </w:tcPr>
          <w:p w14:paraId="4DA53F7F" w14:textId="77777777" w:rsidR="00137EB8" w:rsidRPr="00495094" w:rsidRDefault="00137EB8" w:rsidP="004C529E">
            <w:pPr>
              <w:jc w:val="left"/>
              <w:rPr>
                <w:rFonts w:ascii="Arial" w:hAnsi="Arial" w:cs="Arial"/>
                <w:b/>
                <w:bCs/>
                <w:sz w:val="20"/>
                <w:szCs w:val="20"/>
                <w:lang w:val="en-PH" w:eastAsia="en-PH"/>
              </w:rPr>
            </w:pPr>
            <w:r w:rsidRPr="00495094">
              <w:rPr>
                <w:rFonts w:ascii="Arial" w:hAnsi="Arial" w:cs="Arial"/>
                <w:b/>
                <w:bCs/>
                <w:sz w:val="20"/>
                <w:szCs w:val="20"/>
                <w:lang w:val="en-PH" w:eastAsia="en-PH"/>
              </w:rPr>
              <w:t xml:space="preserve"> Equity </w:t>
            </w:r>
          </w:p>
        </w:tc>
        <w:tc>
          <w:tcPr>
            <w:tcW w:w="2348" w:type="dxa"/>
            <w:tcBorders>
              <w:top w:val="nil"/>
              <w:left w:val="nil"/>
              <w:right w:val="nil"/>
            </w:tcBorders>
            <w:shd w:val="clear" w:color="auto" w:fill="auto"/>
            <w:noWrap/>
            <w:vAlign w:val="center"/>
            <w:hideMark/>
          </w:tcPr>
          <w:p w14:paraId="5781BD55" w14:textId="77777777" w:rsidR="00137EB8" w:rsidRPr="00495094" w:rsidRDefault="00137EB8" w:rsidP="008956EF">
            <w:pPr>
              <w:jc w:val="right"/>
              <w:rPr>
                <w:rFonts w:ascii="Arial" w:hAnsi="Arial" w:cs="Arial"/>
                <w:b/>
                <w:bCs/>
                <w:sz w:val="20"/>
                <w:szCs w:val="20"/>
                <w:lang w:val="en-PH" w:eastAsia="en-PH"/>
              </w:rPr>
            </w:pPr>
          </w:p>
        </w:tc>
        <w:tc>
          <w:tcPr>
            <w:tcW w:w="1817" w:type="dxa"/>
            <w:tcBorders>
              <w:top w:val="nil"/>
              <w:left w:val="nil"/>
              <w:right w:val="nil"/>
            </w:tcBorders>
            <w:shd w:val="clear" w:color="auto" w:fill="auto"/>
            <w:noWrap/>
            <w:vAlign w:val="center"/>
            <w:hideMark/>
          </w:tcPr>
          <w:p w14:paraId="274949AF" w14:textId="77777777" w:rsidR="00137EB8" w:rsidRPr="00495094" w:rsidRDefault="00137EB8" w:rsidP="008956EF">
            <w:pPr>
              <w:jc w:val="right"/>
              <w:rPr>
                <w:rFonts w:ascii="Arial" w:hAnsi="Arial" w:cs="Arial"/>
                <w:sz w:val="20"/>
                <w:szCs w:val="20"/>
                <w:lang w:val="en-PH" w:eastAsia="en-PH"/>
              </w:rPr>
            </w:pPr>
          </w:p>
        </w:tc>
        <w:tc>
          <w:tcPr>
            <w:tcW w:w="1789" w:type="dxa"/>
            <w:tcBorders>
              <w:top w:val="nil"/>
              <w:left w:val="nil"/>
              <w:right w:val="nil"/>
            </w:tcBorders>
            <w:shd w:val="clear" w:color="auto" w:fill="auto"/>
            <w:noWrap/>
            <w:vAlign w:val="center"/>
            <w:hideMark/>
          </w:tcPr>
          <w:p w14:paraId="419C9651" w14:textId="77777777" w:rsidR="00137EB8" w:rsidRPr="00495094" w:rsidRDefault="00137EB8" w:rsidP="008956EF">
            <w:pPr>
              <w:jc w:val="right"/>
              <w:rPr>
                <w:rFonts w:ascii="Arial" w:hAnsi="Arial" w:cs="Arial"/>
                <w:sz w:val="20"/>
                <w:szCs w:val="20"/>
                <w:lang w:val="en-PH" w:eastAsia="en-PH"/>
              </w:rPr>
            </w:pPr>
          </w:p>
        </w:tc>
      </w:tr>
      <w:tr w:rsidR="00495094" w:rsidRPr="00495094" w14:paraId="00C10647" w14:textId="77777777" w:rsidTr="008F128A">
        <w:trPr>
          <w:gridAfter w:val="1"/>
          <w:wAfter w:w="222" w:type="dxa"/>
          <w:trHeight w:val="300"/>
        </w:trPr>
        <w:tc>
          <w:tcPr>
            <w:tcW w:w="2977" w:type="dxa"/>
            <w:tcBorders>
              <w:top w:val="nil"/>
              <w:left w:val="nil"/>
              <w:bottom w:val="double" w:sz="4" w:space="0" w:color="auto"/>
              <w:right w:val="nil"/>
            </w:tcBorders>
            <w:shd w:val="clear" w:color="auto" w:fill="auto"/>
            <w:noWrap/>
            <w:vAlign w:val="center"/>
            <w:hideMark/>
          </w:tcPr>
          <w:p w14:paraId="2FB0E52A" w14:textId="6308360E"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Retained earnings </w:t>
            </w:r>
            <w:r w:rsidR="00490771" w:rsidRPr="00495094">
              <w:rPr>
                <w:rFonts w:ascii="Arial" w:hAnsi="Arial" w:cs="Arial"/>
                <w:sz w:val="20"/>
                <w:szCs w:val="20"/>
                <w:lang w:val="en-PH" w:eastAsia="en-PH"/>
              </w:rPr>
              <w:t>(</w:t>
            </w:r>
            <w:r w:rsidR="00CD562E" w:rsidRPr="00495094">
              <w:rPr>
                <w:rFonts w:ascii="Arial" w:hAnsi="Arial" w:cs="Arial"/>
                <w:sz w:val="20"/>
                <w:szCs w:val="20"/>
                <w:lang w:val="en-PH" w:eastAsia="en-PH"/>
              </w:rPr>
              <w:t>Defici</w:t>
            </w:r>
            <w:r w:rsidR="00490771" w:rsidRPr="00495094">
              <w:rPr>
                <w:rFonts w:ascii="Arial" w:hAnsi="Arial" w:cs="Arial"/>
                <w:sz w:val="20"/>
                <w:szCs w:val="20"/>
                <w:lang w:val="en-PH" w:eastAsia="en-PH"/>
              </w:rPr>
              <w:t>t)</w:t>
            </w:r>
          </w:p>
        </w:tc>
        <w:tc>
          <w:tcPr>
            <w:tcW w:w="2348" w:type="dxa"/>
            <w:tcBorders>
              <w:top w:val="nil"/>
              <w:left w:val="nil"/>
              <w:bottom w:val="double" w:sz="4" w:space="0" w:color="auto"/>
              <w:right w:val="nil"/>
            </w:tcBorders>
            <w:shd w:val="clear" w:color="auto" w:fill="auto"/>
            <w:noWrap/>
            <w:vAlign w:val="center"/>
            <w:hideMark/>
          </w:tcPr>
          <w:p w14:paraId="30543FFF" w14:textId="4FA74A51"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(1,410,889,801)</w:t>
            </w:r>
          </w:p>
        </w:tc>
        <w:tc>
          <w:tcPr>
            <w:tcW w:w="1817" w:type="dxa"/>
            <w:tcBorders>
              <w:top w:val="nil"/>
              <w:left w:val="nil"/>
              <w:bottom w:val="double" w:sz="4" w:space="0" w:color="auto"/>
              <w:right w:val="nil"/>
            </w:tcBorders>
            <w:shd w:val="clear" w:color="auto" w:fill="auto"/>
            <w:noWrap/>
            <w:vAlign w:val="center"/>
            <w:hideMark/>
          </w:tcPr>
          <w:p w14:paraId="2B27D4E8" w14:textId="5FDAD72C"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(6,482,951)</w:t>
            </w:r>
          </w:p>
        </w:tc>
        <w:tc>
          <w:tcPr>
            <w:tcW w:w="1789" w:type="dxa"/>
            <w:tcBorders>
              <w:top w:val="nil"/>
              <w:left w:val="nil"/>
              <w:bottom w:val="double" w:sz="4" w:space="0" w:color="auto"/>
              <w:right w:val="nil"/>
            </w:tcBorders>
            <w:shd w:val="clear" w:color="auto" w:fill="auto"/>
            <w:noWrap/>
            <w:vAlign w:val="center"/>
            <w:hideMark/>
          </w:tcPr>
          <w:p w14:paraId="321F95C2" w14:textId="79494BB4" w:rsidR="00137EB8" w:rsidRPr="00495094" w:rsidRDefault="00137EB8" w:rsidP="008956EF">
            <w:pPr>
              <w:jc w:val="right"/>
              <w:rPr>
                <w:rFonts w:ascii="Arial" w:hAnsi="Arial" w:cs="Arial"/>
                <w:sz w:val="20"/>
                <w:szCs w:val="20"/>
                <w:lang w:val="en-PH" w:eastAsia="en-PH"/>
              </w:rPr>
            </w:pPr>
            <w:r w:rsidRPr="00495094">
              <w:rPr>
                <w:rFonts w:ascii="Arial" w:hAnsi="Arial" w:cs="Arial"/>
                <w:sz w:val="20"/>
                <w:szCs w:val="20"/>
                <w:lang w:val="en-PH" w:eastAsia="en-PH"/>
              </w:rPr>
              <w:t>(1,417,372,752)</w:t>
            </w:r>
          </w:p>
        </w:tc>
      </w:tr>
      <w:tr w:rsidR="00495094" w:rsidRPr="00495094" w14:paraId="1DA2ABF4" w14:textId="77777777" w:rsidTr="008F128A">
        <w:trPr>
          <w:gridAfter w:val="1"/>
          <w:wAfter w:w="222" w:type="dxa"/>
          <w:trHeight w:val="315"/>
        </w:trPr>
        <w:tc>
          <w:tcPr>
            <w:tcW w:w="5325" w:type="dxa"/>
            <w:gridSpan w:val="2"/>
            <w:tcBorders>
              <w:top w:val="double" w:sz="4" w:space="0" w:color="auto"/>
              <w:left w:val="nil"/>
              <w:bottom w:val="single" w:sz="4" w:space="0" w:color="auto"/>
              <w:right w:val="nil"/>
            </w:tcBorders>
            <w:shd w:val="clear" w:color="auto" w:fill="auto"/>
            <w:noWrap/>
            <w:vAlign w:val="bottom"/>
            <w:hideMark/>
          </w:tcPr>
          <w:p w14:paraId="555CCF08" w14:textId="19D61F5C" w:rsidR="00137EB8" w:rsidRPr="00495094" w:rsidRDefault="00137EB8" w:rsidP="008956EF">
            <w:pPr>
              <w:jc w:val="left"/>
              <w:rPr>
                <w:rFonts w:ascii="Arial" w:hAnsi="Arial" w:cs="Arial"/>
                <w:b/>
                <w:bCs/>
                <w:i/>
                <w:iCs/>
                <w:sz w:val="20"/>
                <w:szCs w:val="20"/>
                <w:lang w:val="en-PH" w:eastAsia="en-PH"/>
              </w:rPr>
            </w:pPr>
            <w:r w:rsidRPr="00495094">
              <w:rPr>
                <w:rFonts w:ascii="Arial" w:hAnsi="Arial" w:cs="Arial"/>
                <w:b/>
                <w:bCs/>
                <w:i/>
                <w:iCs/>
                <w:sz w:val="22"/>
                <w:szCs w:val="22"/>
                <w:lang w:val="en-PH" w:eastAsia="en-PH"/>
              </w:rPr>
              <w:t xml:space="preserve"> </w:t>
            </w:r>
          </w:p>
        </w:tc>
        <w:tc>
          <w:tcPr>
            <w:tcW w:w="1817" w:type="dxa"/>
            <w:tcBorders>
              <w:top w:val="double" w:sz="4" w:space="0" w:color="auto"/>
              <w:left w:val="nil"/>
              <w:bottom w:val="single" w:sz="4" w:space="0" w:color="auto"/>
              <w:right w:val="nil"/>
            </w:tcBorders>
            <w:shd w:val="clear" w:color="auto" w:fill="auto"/>
            <w:noWrap/>
            <w:vAlign w:val="center"/>
            <w:hideMark/>
          </w:tcPr>
          <w:p w14:paraId="647F4477" w14:textId="77777777"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 </w:t>
            </w:r>
          </w:p>
        </w:tc>
        <w:tc>
          <w:tcPr>
            <w:tcW w:w="1789" w:type="dxa"/>
            <w:tcBorders>
              <w:top w:val="double" w:sz="4" w:space="0" w:color="auto"/>
              <w:left w:val="nil"/>
              <w:bottom w:val="single" w:sz="4" w:space="0" w:color="auto"/>
              <w:right w:val="nil"/>
            </w:tcBorders>
            <w:shd w:val="clear" w:color="auto" w:fill="auto"/>
            <w:noWrap/>
            <w:vAlign w:val="center"/>
            <w:hideMark/>
          </w:tcPr>
          <w:p w14:paraId="01726BEA" w14:textId="77777777"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 </w:t>
            </w:r>
          </w:p>
        </w:tc>
      </w:tr>
      <w:tr w:rsidR="00495094" w:rsidRPr="00495094" w14:paraId="06AB6E71" w14:textId="77777777" w:rsidTr="00E130E1">
        <w:trPr>
          <w:trHeight w:val="300"/>
        </w:trPr>
        <w:tc>
          <w:tcPr>
            <w:tcW w:w="5325" w:type="dxa"/>
            <w:gridSpan w:val="2"/>
            <w:tcBorders>
              <w:top w:val="single" w:sz="8" w:space="0" w:color="auto"/>
              <w:left w:val="nil"/>
              <w:bottom w:val="nil"/>
              <w:right w:val="nil"/>
            </w:tcBorders>
            <w:shd w:val="clear" w:color="auto" w:fill="auto"/>
            <w:vAlign w:val="center"/>
            <w:hideMark/>
          </w:tcPr>
          <w:p w14:paraId="04AB6F1C" w14:textId="467DC764" w:rsidR="00137EB8" w:rsidRPr="00495094" w:rsidRDefault="008F128A" w:rsidP="004C529E">
            <w:pPr>
              <w:jc w:val="left"/>
              <w:rPr>
                <w:rFonts w:ascii="Arial" w:hAnsi="Arial" w:cs="Arial"/>
                <w:b/>
                <w:bCs/>
                <w:sz w:val="20"/>
                <w:szCs w:val="20"/>
                <w:lang w:val="en-PH" w:eastAsia="en-PH"/>
              </w:rPr>
            </w:pPr>
            <w:r w:rsidRPr="00495094">
              <w:rPr>
                <w:rFonts w:ascii="Arial" w:hAnsi="Arial" w:cs="Arial"/>
                <w:b/>
                <w:bCs/>
                <w:i/>
                <w:iCs/>
                <w:sz w:val="20"/>
                <w:szCs w:val="20"/>
                <w:lang w:val="en-PH" w:eastAsia="en-PH"/>
              </w:rPr>
              <w:t>Changes in the Statement of Comprehensive Income</w:t>
            </w:r>
          </w:p>
        </w:tc>
        <w:tc>
          <w:tcPr>
            <w:tcW w:w="1817" w:type="dxa"/>
            <w:tcBorders>
              <w:top w:val="single" w:sz="8" w:space="0" w:color="auto"/>
              <w:left w:val="nil"/>
              <w:bottom w:val="nil"/>
              <w:right w:val="nil"/>
            </w:tcBorders>
            <w:shd w:val="clear" w:color="auto" w:fill="auto"/>
            <w:vAlign w:val="center"/>
            <w:hideMark/>
          </w:tcPr>
          <w:p w14:paraId="3FD23E61" w14:textId="77777777" w:rsidR="00137EB8" w:rsidRPr="00495094" w:rsidRDefault="00137EB8" w:rsidP="004C529E">
            <w:pPr>
              <w:jc w:val="left"/>
              <w:rPr>
                <w:rFonts w:ascii="Arial" w:hAnsi="Arial" w:cs="Arial"/>
                <w:sz w:val="20"/>
                <w:szCs w:val="20"/>
                <w:lang w:val="en-PH" w:eastAsia="en-PH"/>
              </w:rPr>
            </w:pPr>
          </w:p>
        </w:tc>
        <w:tc>
          <w:tcPr>
            <w:tcW w:w="1789" w:type="dxa"/>
            <w:tcBorders>
              <w:top w:val="single" w:sz="8" w:space="0" w:color="auto"/>
              <w:left w:val="nil"/>
              <w:bottom w:val="nil"/>
              <w:right w:val="nil"/>
            </w:tcBorders>
            <w:shd w:val="clear" w:color="auto" w:fill="auto"/>
            <w:vAlign w:val="center"/>
            <w:hideMark/>
          </w:tcPr>
          <w:p w14:paraId="7FAFF014" w14:textId="77777777" w:rsidR="00137EB8" w:rsidRPr="00495094" w:rsidRDefault="00137EB8" w:rsidP="004C529E">
            <w:pPr>
              <w:jc w:val="left"/>
              <w:rPr>
                <w:rFonts w:ascii="Arial" w:hAnsi="Arial" w:cs="Arial"/>
                <w:sz w:val="20"/>
                <w:szCs w:val="20"/>
                <w:lang w:val="en-PH" w:eastAsia="en-PH"/>
              </w:rPr>
            </w:pPr>
          </w:p>
        </w:tc>
        <w:tc>
          <w:tcPr>
            <w:tcW w:w="222" w:type="dxa"/>
            <w:tcBorders>
              <w:left w:val="nil"/>
              <w:bottom w:val="nil"/>
              <w:right w:val="nil"/>
            </w:tcBorders>
            <w:shd w:val="clear" w:color="auto" w:fill="auto"/>
            <w:noWrap/>
            <w:vAlign w:val="bottom"/>
          </w:tcPr>
          <w:p w14:paraId="1B9A39E3" w14:textId="77777777" w:rsidR="00137EB8" w:rsidRPr="00495094" w:rsidRDefault="00137EB8" w:rsidP="008956EF">
            <w:pPr>
              <w:jc w:val="center"/>
              <w:rPr>
                <w:rFonts w:ascii="Arial" w:hAnsi="Arial" w:cs="Arial"/>
                <w:sz w:val="20"/>
                <w:szCs w:val="20"/>
                <w:lang w:val="en-PH" w:eastAsia="en-PH"/>
              </w:rPr>
            </w:pPr>
          </w:p>
        </w:tc>
      </w:tr>
      <w:tr w:rsidR="00495094" w:rsidRPr="00495094" w14:paraId="02E3E490" w14:textId="77777777" w:rsidTr="00490771">
        <w:trPr>
          <w:trHeight w:val="300"/>
        </w:trPr>
        <w:tc>
          <w:tcPr>
            <w:tcW w:w="2977" w:type="dxa"/>
            <w:tcBorders>
              <w:top w:val="nil"/>
              <w:left w:val="nil"/>
              <w:bottom w:val="nil"/>
              <w:right w:val="nil"/>
            </w:tcBorders>
            <w:shd w:val="clear" w:color="auto" w:fill="auto"/>
            <w:noWrap/>
            <w:vAlign w:val="center"/>
            <w:hideMark/>
          </w:tcPr>
          <w:p w14:paraId="5524C28B" w14:textId="77777777"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Miscellaneous Income </w:t>
            </w:r>
          </w:p>
        </w:tc>
        <w:tc>
          <w:tcPr>
            <w:tcW w:w="2348" w:type="dxa"/>
            <w:tcBorders>
              <w:top w:val="nil"/>
              <w:left w:val="nil"/>
              <w:bottom w:val="nil"/>
              <w:right w:val="nil"/>
            </w:tcBorders>
            <w:shd w:val="clear" w:color="auto" w:fill="auto"/>
            <w:vAlign w:val="bottom"/>
            <w:hideMark/>
          </w:tcPr>
          <w:p w14:paraId="7E483FA2" w14:textId="705E0780"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5,165,014</w:t>
            </w:r>
          </w:p>
        </w:tc>
        <w:tc>
          <w:tcPr>
            <w:tcW w:w="1817" w:type="dxa"/>
            <w:tcBorders>
              <w:top w:val="nil"/>
              <w:left w:val="nil"/>
              <w:bottom w:val="nil"/>
              <w:right w:val="nil"/>
            </w:tcBorders>
            <w:shd w:val="clear" w:color="auto" w:fill="auto"/>
            <w:vAlign w:val="bottom"/>
            <w:hideMark/>
          </w:tcPr>
          <w:p w14:paraId="34BE34B2" w14:textId="18F8F398"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1,275,740</w:t>
            </w:r>
          </w:p>
        </w:tc>
        <w:tc>
          <w:tcPr>
            <w:tcW w:w="1789" w:type="dxa"/>
            <w:tcBorders>
              <w:top w:val="nil"/>
              <w:left w:val="nil"/>
              <w:bottom w:val="nil"/>
              <w:right w:val="nil"/>
            </w:tcBorders>
            <w:shd w:val="clear" w:color="auto" w:fill="auto"/>
            <w:vAlign w:val="bottom"/>
            <w:hideMark/>
          </w:tcPr>
          <w:p w14:paraId="7FF85A77" w14:textId="70382D7F"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6,440,754</w:t>
            </w:r>
          </w:p>
        </w:tc>
        <w:tc>
          <w:tcPr>
            <w:tcW w:w="222" w:type="dxa"/>
            <w:vAlign w:val="center"/>
            <w:hideMark/>
          </w:tcPr>
          <w:p w14:paraId="75B38435" w14:textId="77777777" w:rsidR="00137EB8" w:rsidRPr="00495094" w:rsidRDefault="00137EB8" w:rsidP="004C529E">
            <w:pPr>
              <w:jc w:val="left"/>
              <w:rPr>
                <w:rFonts w:ascii="Arial" w:hAnsi="Arial" w:cs="Arial"/>
                <w:sz w:val="20"/>
                <w:szCs w:val="20"/>
                <w:lang w:val="en-PH" w:eastAsia="en-PH"/>
              </w:rPr>
            </w:pPr>
          </w:p>
        </w:tc>
      </w:tr>
      <w:tr w:rsidR="00495094" w:rsidRPr="00495094" w14:paraId="0B8A402E" w14:textId="77777777" w:rsidTr="00490771">
        <w:trPr>
          <w:trHeight w:val="300"/>
        </w:trPr>
        <w:tc>
          <w:tcPr>
            <w:tcW w:w="2977" w:type="dxa"/>
            <w:tcBorders>
              <w:top w:val="nil"/>
              <w:left w:val="nil"/>
              <w:bottom w:val="nil"/>
              <w:right w:val="nil"/>
            </w:tcBorders>
            <w:shd w:val="clear" w:color="auto" w:fill="auto"/>
            <w:noWrap/>
            <w:vAlign w:val="center"/>
            <w:hideMark/>
          </w:tcPr>
          <w:p w14:paraId="7BC40CCD" w14:textId="77777777"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Depreciation and Amortization </w:t>
            </w:r>
          </w:p>
        </w:tc>
        <w:tc>
          <w:tcPr>
            <w:tcW w:w="2348" w:type="dxa"/>
            <w:tcBorders>
              <w:top w:val="nil"/>
              <w:left w:val="nil"/>
              <w:bottom w:val="nil"/>
              <w:right w:val="nil"/>
            </w:tcBorders>
            <w:shd w:val="clear" w:color="auto" w:fill="auto"/>
            <w:noWrap/>
            <w:vAlign w:val="bottom"/>
            <w:hideMark/>
          </w:tcPr>
          <w:p w14:paraId="2B2BFFEC" w14:textId="01C48E55" w:rsidR="00137EB8"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5,695,547</w:t>
            </w:r>
          </w:p>
        </w:tc>
        <w:tc>
          <w:tcPr>
            <w:tcW w:w="1817" w:type="dxa"/>
            <w:tcBorders>
              <w:top w:val="nil"/>
              <w:left w:val="nil"/>
              <w:bottom w:val="nil"/>
              <w:right w:val="nil"/>
            </w:tcBorders>
            <w:shd w:val="clear" w:color="auto" w:fill="auto"/>
            <w:noWrap/>
            <w:vAlign w:val="bottom"/>
            <w:hideMark/>
          </w:tcPr>
          <w:p w14:paraId="5205DD6B" w14:textId="375BDA16" w:rsidR="00137EB8"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w:t>
            </w:r>
            <w:r w:rsidR="00137EB8" w:rsidRPr="00495094">
              <w:rPr>
                <w:rFonts w:ascii="Arial" w:hAnsi="Arial" w:cs="Arial"/>
                <w:sz w:val="20"/>
                <w:szCs w:val="20"/>
                <w:lang w:val="en-PH" w:eastAsia="en-PH"/>
              </w:rPr>
              <w:t>82,762</w:t>
            </w:r>
            <w:r w:rsidRPr="00495094">
              <w:rPr>
                <w:rFonts w:ascii="Arial" w:hAnsi="Arial" w:cs="Arial"/>
                <w:sz w:val="20"/>
                <w:szCs w:val="20"/>
                <w:lang w:val="en-PH" w:eastAsia="en-PH"/>
              </w:rPr>
              <w:t>)</w:t>
            </w:r>
          </w:p>
        </w:tc>
        <w:tc>
          <w:tcPr>
            <w:tcW w:w="1789" w:type="dxa"/>
            <w:tcBorders>
              <w:top w:val="nil"/>
              <w:left w:val="nil"/>
              <w:bottom w:val="nil"/>
              <w:right w:val="nil"/>
            </w:tcBorders>
            <w:shd w:val="clear" w:color="auto" w:fill="auto"/>
            <w:noWrap/>
            <w:vAlign w:val="bottom"/>
            <w:hideMark/>
          </w:tcPr>
          <w:p w14:paraId="460C4629" w14:textId="295BA2AE" w:rsidR="00137EB8"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5,612,785</w:t>
            </w:r>
          </w:p>
        </w:tc>
        <w:tc>
          <w:tcPr>
            <w:tcW w:w="222" w:type="dxa"/>
            <w:vAlign w:val="center"/>
            <w:hideMark/>
          </w:tcPr>
          <w:p w14:paraId="5FEC6923" w14:textId="77777777" w:rsidR="00137EB8" w:rsidRPr="00495094" w:rsidRDefault="00137EB8" w:rsidP="004C529E">
            <w:pPr>
              <w:jc w:val="left"/>
              <w:rPr>
                <w:rFonts w:ascii="Arial" w:hAnsi="Arial" w:cs="Arial"/>
                <w:sz w:val="20"/>
                <w:szCs w:val="20"/>
                <w:lang w:val="en-PH" w:eastAsia="en-PH"/>
              </w:rPr>
            </w:pPr>
          </w:p>
        </w:tc>
      </w:tr>
      <w:tr w:rsidR="00495094" w:rsidRPr="00495094" w14:paraId="7FFBCD3E" w14:textId="77777777" w:rsidTr="00490771">
        <w:trPr>
          <w:trHeight w:val="300"/>
        </w:trPr>
        <w:tc>
          <w:tcPr>
            <w:tcW w:w="2977" w:type="dxa"/>
            <w:tcBorders>
              <w:top w:val="nil"/>
              <w:left w:val="nil"/>
              <w:bottom w:val="nil"/>
              <w:right w:val="nil"/>
            </w:tcBorders>
            <w:shd w:val="clear" w:color="auto" w:fill="auto"/>
            <w:noWrap/>
            <w:vAlign w:val="center"/>
          </w:tcPr>
          <w:p w14:paraId="78E0A61B" w14:textId="18E0C3CF" w:rsidR="005F0149" w:rsidRPr="00495094" w:rsidRDefault="004717F3"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w:t>
            </w:r>
            <w:r w:rsidR="005F0149" w:rsidRPr="00495094">
              <w:rPr>
                <w:rFonts w:ascii="Arial" w:hAnsi="Arial" w:cs="Arial"/>
                <w:sz w:val="20"/>
                <w:szCs w:val="20"/>
                <w:lang w:val="en-PH" w:eastAsia="en-PH"/>
              </w:rPr>
              <w:t xml:space="preserve">Rent </w:t>
            </w:r>
          </w:p>
        </w:tc>
        <w:tc>
          <w:tcPr>
            <w:tcW w:w="2348" w:type="dxa"/>
            <w:tcBorders>
              <w:top w:val="nil"/>
              <w:left w:val="nil"/>
              <w:bottom w:val="nil"/>
              <w:right w:val="nil"/>
            </w:tcBorders>
            <w:shd w:val="clear" w:color="auto" w:fill="auto"/>
            <w:noWrap/>
            <w:vAlign w:val="bottom"/>
          </w:tcPr>
          <w:p w14:paraId="5D51457B" w14:textId="7524EF32"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2,078,400</w:t>
            </w:r>
          </w:p>
        </w:tc>
        <w:tc>
          <w:tcPr>
            <w:tcW w:w="1817" w:type="dxa"/>
            <w:tcBorders>
              <w:top w:val="nil"/>
              <w:left w:val="nil"/>
              <w:bottom w:val="nil"/>
              <w:right w:val="nil"/>
            </w:tcBorders>
            <w:shd w:val="clear" w:color="auto" w:fill="auto"/>
            <w:noWrap/>
            <w:vAlign w:val="bottom"/>
          </w:tcPr>
          <w:p w14:paraId="11E35A46" w14:textId="781379A5"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(156,652)</w:t>
            </w:r>
          </w:p>
        </w:tc>
        <w:tc>
          <w:tcPr>
            <w:tcW w:w="1789" w:type="dxa"/>
            <w:tcBorders>
              <w:top w:val="nil"/>
              <w:left w:val="nil"/>
              <w:bottom w:val="nil"/>
              <w:right w:val="nil"/>
            </w:tcBorders>
            <w:shd w:val="clear" w:color="auto" w:fill="auto"/>
            <w:noWrap/>
            <w:vAlign w:val="bottom"/>
          </w:tcPr>
          <w:p w14:paraId="5A0AFA0F" w14:textId="27887DB5"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1,921,749</w:t>
            </w:r>
          </w:p>
        </w:tc>
        <w:tc>
          <w:tcPr>
            <w:tcW w:w="222" w:type="dxa"/>
            <w:vAlign w:val="center"/>
          </w:tcPr>
          <w:p w14:paraId="7227E7FD" w14:textId="77777777" w:rsidR="005F0149" w:rsidRPr="00495094" w:rsidRDefault="005F0149" w:rsidP="004C529E">
            <w:pPr>
              <w:jc w:val="left"/>
              <w:rPr>
                <w:rFonts w:ascii="Arial" w:hAnsi="Arial" w:cs="Arial"/>
                <w:sz w:val="20"/>
                <w:szCs w:val="20"/>
                <w:lang w:val="en-PH" w:eastAsia="en-PH"/>
              </w:rPr>
            </w:pPr>
          </w:p>
        </w:tc>
      </w:tr>
      <w:tr w:rsidR="00495094" w:rsidRPr="00495094" w14:paraId="2248C184" w14:textId="77777777" w:rsidTr="00490771">
        <w:trPr>
          <w:trHeight w:val="300"/>
        </w:trPr>
        <w:tc>
          <w:tcPr>
            <w:tcW w:w="2977" w:type="dxa"/>
            <w:tcBorders>
              <w:top w:val="nil"/>
              <w:left w:val="nil"/>
              <w:right w:val="nil"/>
            </w:tcBorders>
            <w:shd w:val="clear" w:color="auto" w:fill="auto"/>
            <w:noWrap/>
            <w:vAlign w:val="center"/>
          </w:tcPr>
          <w:p w14:paraId="3BDA453F" w14:textId="089C9701" w:rsidR="005F0149" w:rsidRPr="00495094" w:rsidRDefault="005F0149" w:rsidP="004C529E">
            <w:pPr>
              <w:jc w:val="left"/>
              <w:rPr>
                <w:rFonts w:ascii="Arial" w:hAnsi="Arial" w:cs="Arial"/>
                <w:sz w:val="20"/>
                <w:szCs w:val="20"/>
                <w:lang w:val="en-PH" w:eastAsia="en-PH"/>
              </w:rPr>
            </w:pPr>
            <w:r w:rsidRPr="00495094">
              <w:rPr>
                <w:rFonts w:ascii="Arial" w:hAnsi="Arial" w:cs="Arial"/>
                <w:sz w:val="20"/>
                <w:szCs w:val="20"/>
                <w:lang w:val="en-PH" w:eastAsia="en-PH"/>
              </w:rPr>
              <w:t>Taxes and Licenses</w:t>
            </w:r>
          </w:p>
        </w:tc>
        <w:tc>
          <w:tcPr>
            <w:tcW w:w="2348" w:type="dxa"/>
            <w:tcBorders>
              <w:top w:val="nil"/>
              <w:left w:val="nil"/>
              <w:right w:val="nil"/>
            </w:tcBorders>
            <w:shd w:val="clear" w:color="auto" w:fill="auto"/>
            <w:noWrap/>
            <w:vAlign w:val="bottom"/>
          </w:tcPr>
          <w:p w14:paraId="3F9F4972" w14:textId="24D9A00B"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1,646,409</w:t>
            </w:r>
          </w:p>
        </w:tc>
        <w:tc>
          <w:tcPr>
            <w:tcW w:w="1817" w:type="dxa"/>
            <w:tcBorders>
              <w:top w:val="nil"/>
              <w:left w:val="nil"/>
              <w:right w:val="nil"/>
            </w:tcBorders>
            <w:shd w:val="clear" w:color="auto" w:fill="auto"/>
            <w:noWrap/>
            <w:vAlign w:val="bottom"/>
          </w:tcPr>
          <w:p w14:paraId="5CD15FCC" w14:textId="0C22C186"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187,627</w:t>
            </w:r>
          </w:p>
        </w:tc>
        <w:tc>
          <w:tcPr>
            <w:tcW w:w="1789" w:type="dxa"/>
            <w:tcBorders>
              <w:top w:val="nil"/>
              <w:left w:val="nil"/>
              <w:right w:val="nil"/>
            </w:tcBorders>
            <w:shd w:val="clear" w:color="auto" w:fill="auto"/>
            <w:noWrap/>
            <w:vAlign w:val="bottom"/>
          </w:tcPr>
          <w:p w14:paraId="6754F697" w14:textId="46B8F4CF" w:rsidR="005F0149" w:rsidRPr="00495094" w:rsidRDefault="005F0149" w:rsidP="004C529E">
            <w:pPr>
              <w:jc w:val="right"/>
              <w:rPr>
                <w:rFonts w:ascii="Arial" w:hAnsi="Arial" w:cs="Arial"/>
                <w:sz w:val="20"/>
                <w:szCs w:val="20"/>
                <w:lang w:val="en-PH" w:eastAsia="en-PH"/>
              </w:rPr>
            </w:pPr>
            <w:r w:rsidRPr="00495094">
              <w:rPr>
                <w:rFonts w:ascii="Arial" w:hAnsi="Arial" w:cs="Arial"/>
                <w:sz w:val="20"/>
                <w:szCs w:val="20"/>
                <w:lang w:val="en-PH" w:eastAsia="en-PH"/>
              </w:rPr>
              <w:t>1,834,036</w:t>
            </w:r>
          </w:p>
        </w:tc>
        <w:tc>
          <w:tcPr>
            <w:tcW w:w="222" w:type="dxa"/>
            <w:vAlign w:val="center"/>
          </w:tcPr>
          <w:p w14:paraId="4184E4C2" w14:textId="77777777" w:rsidR="005F0149" w:rsidRPr="00495094" w:rsidRDefault="005F0149" w:rsidP="004C529E">
            <w:pPr>
              <w:jc w:val="left"/>
              <w:rPr>
                <w:rFonts w:ascii="Arial" w:hAnsi="Arial" w:cs="Arial"/>
                <w:sz w:val="20"/>
                <w:szCs w:val="20"/>
                <w:lang w:val="en-PH" w:eastAsia="en-PH"/>
              </w:rPr>
            </w:pPr>
          </w:p>
        </w:tc>
      </w:tr>
      <w:tr w:rsidR="00495094" w:rsidRPr="00495094" w14:paraId="14F2B086" w14:textId="77777777" w:rsidTr="00490771">
        <w:trPr>
          <w:trHeight w:val="315"/>
        </w:trPr>
        <w:tc>
          <w:tcPr>
            <w:tcW w:w="2977" w:type="dxa"/>
            <w:tcBorders>
              <w:top w:val="nil"/>
              <w:left w:val="nil"/>
              <w:bottom w:val="single" w:sz="8" w:space="0" w:color="auto"/>
              <w:right w:val="nil"/>
            </w:tcBorders>
            <w:shd w:val="clear" w:color="auto" w:fill="auto"/>
            <w:noWrap/>
            <w:vAlign w:val="center"/>
            <w:hideMark/>
          </w:tcPr>
          <w:p w14:paraId="51CCDDBB" w14:textId="77777777"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Miscellaneous Expenses </w:t>
            </w:r>
          </w:p>
        </w:tc>
        <w:tc>
          <w:tcPr>
            <w:tcW w:w="2348" w:type="dxa"/>
            <w:tcBorders>
              <w:top w:val="nil"/>
              <w:left w:val="nil"/>
              <w:bottom w:val="single" w:sz="8" w:space="0" w:color="auto"/>
              <w:right w:val="nil"/>
            </w:tcBorders>
            <w:shd w:val="clear" w:color="auto" w:fill="auto"/>
            <w:noWrap/>
            <w:vAlign w:val="bottom"/>
            <w:hideMark/>
          </w:tcPr>
          <w:p w14:paraId="3B63318A" w14:textId="3E140F9C"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84,002,963</w:t>
            </w:r>
          </w:p>
        </w:tc>
        <w:tc>
          <w:tcPr>
            <w:tcW w:w="1817" w:type="dxa"/>
            <w:tcBorders>
              <w:top w:val="nil"/>
              <w:left w:val="nil"/>
              <w:bottom w:val="single" w:sz="8" w:space="0" w:color="auto"/>
              <w:right w:val="nil"/>
            </w:tcBorders>
            <w:shd w:val="clear" w:color="auto" w:fill="auto"/>
            <w:noWrap/>
            <w:vAlign w:val="bottom"/>
            <w:hideMark/>
          </w:tcPr>
          <w:p w14:paraId="67705678" w14:textId="5AB14B9C"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7,81</w:t>
            </w:r>
            <w:r w:rsidR="005F0149" w:rsidRPr="00495094">
              <w:rPr>
                <w:rFonts w:ascii="Arial" w:hAnsi="Arial" w:cs="Arial"/>
                <w:sz w:val="20"/>
                <w:szCs w:val="20"/>
                <w:lang w:val="en-PH" w:eastAsia="en-PH"/>
              </w:rPr>
              <w:t>0</w:t>
            </w:r>
            <w:r w:rsidRPr="00495094">
              <w:rPr>
                <w:rFonts w:ascii="Arial" w:hAnsi="Arial" w:cs="Arial"/>
                <w:sz w:val="20"/>
                <w:szCs w:val="20"/>
                <w:lang w:val="en-PH" w:eastAsia="en-PH"/>
              </w:rPr>
              <w:t>,4</w:t>
            </w:r>
            <w:r w:rsidR="005F0149" w:rsidRPr="00495094">
              <w:rPr>
                <w:rFonts w:ascii="Arial" w:hAnsi="Arial" w:cs="Arial"/>
                <w:sz w:val="20"/>
                <w:szCs w:val="20"/>
                <w:lang w:val="en-PH" w:eastAsia="en-PH"/>
              </w:rPr>
              <w:t>78</w:t>
            </w:r>
          </w:p>
        </w:tc>
        <w:tc>
          <w:tcPr>
            <w:tcW w:w="1789" w:type="dxa"/>
            <w:tcBorders>
              <w:top w:val="nil"/>
              <w:left w:val="nil"/>
              <w:bottom w:val="single" w:sz="8" w:space="0" w:color="auto"/>
              <w:right w:val="nil"/>
            </w:tcBorders>
            <w:shd w:val="clear" w:color="auto" w:fill="auto"/>
            <w:noWrap/>
            <w:vAlign w:val="bottom"/>
            <w:hideMark/>
          </w:tcPr>
          <w:p w14:paraId="5BB2238A" w14:textId="48044302"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91,8</w:t>
            </w:r>
            <w:r w:rsidR="005F0149" w:rsidRPr="00495094">
              <w:rPr>
                <w:rFonts w:ascii="Arial" w:hAnsi="Arial" w:cs="Arial"/>
                <w:sz w:val="20"/>
                <w:szCs w:val="20"/>
                <w:lang w:val="en-PH" w:eastAsia="en-PH"/>
              </w:rPr>
              <w:t>13</w:t>
            </w:r>
            <w:r w:rsidRPr="00495094">
              <w:rPr>
                <w:rFonts w:ascii="Arial" w:hAnsi="Arial" w:cs="Arial"/>
                <w:sz w:val="20"/>
                <w:szCs w:val="20"/>
                <w:lang w:val="en-PH" w:eastAsia="en-PH"/>
              </w:rPr>
              <w:t>,4</w:t>
            </w:r>
            <w:r w:rsidR="004717F3" w:rsidRPr="00495094">
              <w:rPr>
                <w:rFonts w:ascii="Arial" w:hAnsi="Arial" w:cs="Arial"/>
                <w:sz w:val="20"/>
                <w:szCs w:val="20"/>
                <w:lang w:val="en-PH" w:eastAsia="en-PH"/>
              </w:rPr>
              <w:t>4</w:t>
            </w:r>
            <w:r w:rsidRPr="00495094">
              <w:rPr>
                <w:rFonts w:ascii="Arial" w:hAnsi="Arial" w:cs="Arial"/>
                <w:sz w:val="20"/>
                <w:szCs w:val="20"/>
                <w:lang w:val="en-PH" w:eastAsia="en-PH"/>
              </w:rPr>
              <w:t>1</w:t>
            </w:r>
          </w:p>
        </w:tc>
        <w:tc>
          <w:tcPr>
            <w:tcW w:w="222" w:type="dxa"/>
            <w:vAlign w:val="center"/>
            <w:hideMark/>
          </w:tcPr>
          <w:p w14:paraId="5C0A5F31" w14:textId="77777777" w:rsidR="00137EB8" w:rsidRPr="00495094" w:rsidRDefault="00137EB8" w:rsidP="004C529E">
            <w:pPr>
              <w:jc w:val="left"/>
              <w:rPr>
                <w:rFonts w:ascii="Arial" w:hAnsi="Arial" w:cs="Arial"/>
                <w:sz w:val="20"/>
                <w:szCs w:val="20"/>
                <w:lang w:val="en-PH" w:eastAsia="en-PH"/>
              </w:rPr>
            </w:pPr>
          </w:p>
        </w:tc>
      </w:tr>
      <w:tr w:rsidR="004C529E" w:rsidRPr="00495094" w14:paraId="59AD5E96" w14:textId="77777777" w:rsidTr="00490771">
        <w:trPr>
          <w:trHeight w:val="315"/>
        </w:trPr>
        <w:tc>
          <w:tcPr>
            <w:tcW w:w="2977" w:type="dxa"/>
            <w:tcBorders>
              <w:top w:val="single" w:sz="8" w:space="0" w:color="auto"/>
              <w:left w:val="nil"/>
              <w:bottom w:val="double" w:sz="4" w:space="0" w:color="auto"/>
              <w:right w:val="nil"/>
            </w:tcBorders>
            <w:shd w:val="clear" w:color="auto" w:fill="auto"/>
            <w:noWrap/>
            <w:vAlign w:val="center"/>
            <w:hideMark/>
          </w:tcPr>
          <w:p w14:paraId="6D397416" w14:textId="77777777" w:rsidR="00137EB8" w:rsidRPr="00495094" w:rsidRDefault="00137EB8" w:rsidP="004C529E">
            <w:pPr>
              <w:jc w:val="left"/>
              <w:rPr>
                <w:rFonts w:ascii="Arial" w:hAnsi="Arial" w:cs="Arial"/>
                <w:sz w:val="20"/>
                <w:szCs w:val="20"/>
                <w:lang w:val="en-PH" w:eastAsia="en-PH"/>
              </w:rPr>
            </w:pPr>
            <w:r w:rsidRPr="00495094">
              <w:rPr>
                <w:rFonts w:ascii="Arial" w:hAnsi="Arial" w:cs="Arial"/>
                <w:sz w:val="20"/>
                <w:szCs w:val="20"/>
                <w:lang w:val="en-PH" w:eastAsia="en-PH"/>
              </w:rPr>
              <w:t xml:space="preserve"> Net  </w:t>
            </w:r>
          </w:p>
        </w:tc>
        <w:tc>
          <w:tcPr>
            <w:tcW w:w="2348" w:type="dxa"/>
            <w:tcBorders>
              <w:top w:val="single" w:sz="8" w:space="0" w:color="auto"/>
              <w:left w:val="nil"/>
              <w:bottom w:val="double" w:sz="4" w:space="0" w:color="auto"/>
              <w:right w:val="nil"/>
            </w:tcBorders>
            <w:shd w:val="clear" w:color="auto" w:fill="auto"/>
            <w:noWrap/>
            <w:vAlign w:val="bottom"/>
            <w:hideMark/>
          </w:tcPr>
          <w:p w14:paraId="502760B0" w14:textId="315F9B0F" w:rsidR="00137EB8" w:rsidRPr="00495094" w:rsidRDefault="00137EB8" w:rsidP="004C529E">
            <w:pPr>
              <w:jc w:val="right"/>
              <w:rPr>
                <w:rFonts w:ascii="Arial" w:hAnsi="Arial" w:cs="Arial"/>
                <w:sz w:val="20"/>
                <w:szCs w:val="20"/>
                <w:lang w:val="en-PH" w:eastAsia="en-PH"/>
              </w:rPr>
            </w:pPr>
          </w:p>
        </w:tc>
        <w:tc>
          <w:tcPr>
            <w:tcW w:w="1817" w:type="dxa"/>
            <w:tcBorders>
              <w:top w:val="single" w:sz="8" w:space="0" w:color="auto"/>
              <w:left w:val="nil"/>
              <w:bottom w:val="double" w:sz="4" w:space="0" w:color="auto"/>
              <w:right w:val="nil"/>
            </w:tcBorders>
            <w:shd w:val="clear" w:color="auto" w:fill="auto"/>
            <w:noWrap/>
            <w:vAlign w:val="bottom"/>
            <w:hideMark/>
          </w:tcPr>
          <w:p w14:paraId="11B511B0" w14:textId="4637D168" w:rsidR="00137EB8" w:rsidRPr="00495094" w:rsidRDefault="00137EB8" w:rsidP="004C529E">
            <w:pPr>
              <w:jc w:val="right"/>
              <w:rPr>
                <w:rFonts w:ascii="Arial" w:hAnsi="Arial" w:cs="Arial"/>
                <w:sz w:val="20"/>
                <w:szCs w:val="20"/>
                <w:lang w:val="en-PH" w:eastAsia="en-PH"/>
              </w:rPr>
            </w:pPr>
            <w:r w:rsidRPr="00495094">
              <w:rPr>
                <w:rFonts w:ascii="Arial" w:hAnsi="Arial" w:cs="Arial"/>
                <w:sz w:val="20"/>
                <w:szCs w:val="20"/>
                <w:lang w:val="en-PH" w:eastAsia="en-PH"/>
              </w:rPr>
              <w:t>6,482,951</w:t>
            </w:r>
          </w:p>
        </w:tc>
        <w:tc>
          <w:tcPr>
            <w:tcW w:w="1789" w:type="dxa"/>
            <w:tcBorders>
              <w:top w:val="single" w:sz="8" w:space="0" w:color="auto"/>
              <w:left w:val="nil"/>
              <w:bottom w:val="double" w:sz="4" w:space="0" w:color="auto"/>
              <w:right w:val="nil"/>
            </w:tcBorders>
            <w:shd w:val="clear" w:color="auto" w:fill="auto"/>
            <w:noWrap/>
            <w:vAlign w:val="bottom"/>
            <w:hideMark/>
          </w:tcPr>
          <w:p w14:paraId="6A7446EE" w14:textId="283D596C" w:rsidR="00137EB8" w:rsidRPr="00495094" w:rsidRDefault="00137EB8" w:rsidP="004C529E">
            <w:pPr>
              <w:jc w:val="right"/>
              <w:rPr>
                <w:rFonts w:ascii="Arial" w:hAnsi="Arial" w:cs="Arial"/>
                <w:sz w:val="20"/>
                <w:szCs w:val="20"/>
                <w:lang w:val="en-PH" w:eastAsia="en-PH"/>
              </w:rPr>
            </w:pPr>
          </w:p>
        </w:tc>
        <w:tc>
          <w:tcPr>
            <w:tcW w:w="222" w:type="dxa"/>
            <w:vAlign w:val="center"/>
            <w:hideMark/>
          </w:tcPr>
          <w:p w14:paraId="09D208EF" w14:textId="77777777" w:rsidR="00137EB8" w:rsidRPr="00495094" w:rsidRDefault="00137EB8" w:rsidP="004C529E">
            <w:pPr>
              <w:jc w:val="left"/>
              <w:rPr>
                <w:rFonts w:ascii="Arial" w:hAnsi="Arial" w:cs="Arial"/>
                <w:sz w:val="20"/>
                <w:szCs w:val="20"/>
                <w:lang w:val="en-PH" w:eastAsia="en-PH"/>
              </w:rPr>
            </w:pPr>
          </w:p>
        </w:tc>
      </w:tr>
    </w:tbl>
    <w:p w14:paraId="297CB42F" w14:textId="77777777" w:rsidR="00260368" w:rsidRPr="00495094" w:rsidRDefault="00260368" w:rsidP="00185B65">
      <w:pPr>
        <w:tabs>
          <w:tab w:val="left" w:pos="1260"/>
        </w:tabs>
        <w:rPr>
          <w:rFonts w:ascii="Arial" w:hAnsi="Arial" w:cs="Arial"/>
          <w:sz w:val="22"/>
          <w:szCs w:val="22"/>
        </w:rPr>
      </w:pPr>
    </w:p>
    <w:p w14:paraId="36586C30" w14:textId="77777777" w:rsidR="00137EB8" w:rsidRPr="00495094" w:rsidRDefault="00137EB8" w:rsidP="00185B65">
      <w:pPr>
        <w:tabs>
          <w:tab w:val="left" w:pos="1260"/>
        </w:tabs>
        <w:rPr>
          <w:rFonts w:ascii="Arial" w:hAnsi="Arial" w:cs="Arial"/>
          <w:sz w:val="22"/>
          <w:szCs w:val="22"/>
        </w:rPr>
      </w:pPr>
    </w:p>
    <w:p w14:paraId="55BF56EA" w14:textId="77777777" w:rsidR="00F35B02" w:rsidRPr="00495094" w:rsidRDefault="00F35B02" w:rsidP="007F4EEC">
      <w:pPr>
        <w:numPr>
          <w:ilvl w:val="0"/>
          <w:numId w:val="12"/>
        </w:numPr>
        <w:ind w:left="720"/>
        <w:rPr>
          <w:rFonts w:ascii="Arial" w:hAnsi="Arial" w:cs="Arial"/>
          <w:b/>
          <w:bCs/>
          <w:sz w:val="22"/>
          <w:szCs w:val="22"/>
          <w:lang w:val="en-PH"/>
        </w:rPr>
      </w:pPr>
      <w:r w:rsidRPr="00495094">
        <w:rPr>
          <w:rFonts w:ascii="Arial" w:hAnsi="Arial" w:cs="Arial"/>
          <w:b/>
          <w:sz w:val="22"/>
          <w:szCs w:val="22"/>
          <w:lang w:val="en-PH"/>
        </w:rPr>
        <w:t xml:space="preserve">Other Comprehensive Income (Loss) </w:t>
      </w:r>
    </w:p>
    <w:p w14:paraId="2D6465D2" w14:textId="77777777" w:rsidR="00185B65" w:rsidRPr="00495094" w:rsidRDefault="00185B65" w:rsidP="00185B65">
      <w:pPr>
        <w:rPr>
          <w:rFonts w:ascii="Arial" w:hAnsi="Arial" w:cs="Arial"/>
          <w:b/>
          <w:bCs/>
          <w:sz w:val="22"/>
          <w:szCs w:val="22"/>
          <w:u w:val="single"/>
        </w:rPr>
      </w:pPr>
    </w:p>
    <w:p w14:paraId="340354ED" w14:textId="474535E2" w:rsidR="003E228D" w:rsidRPr="00495094" w:rsidRDefault="003E228D" w:rsidP="003E228D">
      <w:pPr>
        <w:rPr>
          <w:rFonts w:ascii="Arial" w:hAnsi="Arial" w:cs="Arial"/>
          <w:b/>
          <w:bCs/>
          <w:sz w:val="22"/>
          <w:szCs w:val="22"/>
        </w:rPr>
      </w:pPr>
      <w:r w:rsidRPr="00495094">
        <w:rPr>
          <w:rFonts w:ascii="Arial" w:hAnsi="Arial" w:cs="Arial"/>
          <w:sz w:val="22"/>
          <w:szCs w:val="22"/>
        </w:rPr>
        <w:t>This account consists of Unrealized Gains/Losses on FVOCI Financial Assets representing the gains and losses from mark to market valuation of FVOCI securities which is booked on a daily basis and the Cumulative Foreign Currency Translation representing the foreign exchange differences arising from the revaluation of the foreign currency assets every end of the month using the mont</w:t>
      </w:r>
      <w:r w:rsidR="00380D34" w:rsidRPr="00495094">
        <w:rPr>
          <w:rFonts w:ascii="Arial" w:hAnsi="Arial" w:cs="Arial"/>
          <w:sz w:val="22"/>
          <w:szCs w:val="22"/>
        </w:rPr>
        <w:t xml:space="preserve">h-end closing rate published by </w:t>
      </w:r>
      <w:r w:rsidRPr="00495094">
        <w:rPr>
          <w:rFonts w:ascii="Arial" w:hAnsi="Arial" w:cs="Arial"/>
          <w:sz w:val="22"/>
          <w:szCs w:val="22"/>
        </w:rPr>
        <w:t>the Banker’s Association of the Philippines.</w:t>
      </w:r>
    </w:p>
    <w:p w14:paraId="1BF499A6" w14:textId="77777777" w:rsidR="00F35B02" w:rsidRPr="00495094" w:rsidRDefault="00F35B02" w:rsidP="00A856F8">
      <w:pPr>
        <w:ind w:left="720"/>
        <w:rPr>
          <w:rFonts w:ascii="Arial" w:hAnsi="Arial" w:cs="Arial"/>
          <w:b/>
          <w:bCs/>
          <w:sz w:val="22"/>
          <w:szCs w:val="22"/>
        </w:rPr>
      </w:pPr>
    </w:p>
    <w:p w14:paraId="550702D3" w14:textId="77777777" w:rsidR="00A30CB2" w:rsidRPr="00495094" w:rsidRDefault="00A30CB2" w:rsidP="00A856F8">
      <w:pPr>
        <w:ind w:left="720"/>
        <w:rPr>
          <w:rFonts w:ascii="Arial" w:hAnsi="Arial" w:cs="Arial"/>
          <w:b/>
          <w:bCs/>
          <w:sz w:val="22"/>
          <w:szCs w:val="22"/>
        </w:rPr>
      </w:pPr>
    </w:p>
    <w:p w14:paraId="30DD5BFE" w14:textId="77777777" w:rsidR="004F4B61" w:rsidRPr="00495094" w:rsidRDefault="004F4B61" w:rsidP="00A856F8">
      <w:pPr>
        <w:ind w:left="720"/>
        <w:rPr>
          <w:rFonts w:ascii="Arial" w:hAnsi="Arial" w:cs="Arial"/>
          <w:b/>
          <w:bCs/>
          <w:sz w:val="22"/>
          <w:szCs w:val="22"/>
        </w:rPr>
      </w:pPr>
    </w:p>
    <w:p w14:paraId="371EFC2F" w14:textId="77777777" w:rsidR="004F4B61" w:rsidRPr="00495094" w:rsidRDefault="004F4B61" w:rsidP="00A856F8">
      <w:pPr>
        <w:ind w:left="720"/>
        <w:rPr>
          <w:rFonts w:ascii="Arial" w:hAnsi="Arial" w:cs="Arial"/>
          <w:b/>
          <w:bCs/>
          <w:sz w:val="22"/>
          <w:szCs w:val="22"/>
        </w:rPr>
      </w:pPr>
    </w:p>
    <w:p w14:paraId="3ABD79E8" w14:textId="77777777" w:rsidR="004F4B61" w:rsidRPr="00495094" w:rsidRDefault="004F4B61" w:rsidP="00A856F8">
      <w:pPr>
        <w:ind w:left="720"/>
        <w:rPr>
          <w:rFonts w:ascii="Arial" w:hAnsi="Arial" w:cs="Arial"/>
          <w:b/>
          <w:bCs/>
          <w:sz w:val="22"/>
          <w:szCs w:val="22"/>
        </w:rPr>
      </w:pPr>
    </w:p>
    <w:p w14:paraId="11FA832A" w14:textId="77777777" w:rsidR="004F4B61" w:rsidRPr="00495094" w:rsidRDefault="004F4B61" w:rsidP="00A856F8">
      <w:pPr>
        <w:ind w:left="720"/>
        <w:rPr>
          <w:rFonts w:ascii="Arial" w:hAnsi="Arial" w:cs="Arial"/>
          <w:b/>
          <w:bCs/>
          <w:sz w:val="22"/>
          <w:szCs w:val="22"/>
        </w:rPr>
      </w:pPr>
    </w:p>
    <w:p w14:paraId="5286997B" w14:textId="77777777" w:rsidR="004F4B61" w:rsidRPr="00495094" w:rsidRDefault="004F4B61" w:rsidP="00A856F8">
      <w:pPr>
        <w:ind w:left="720"/>
        <w:rPr>
          <w:rFonts w:ascii="Arial" w:hAnsi="Arial" w:cs="Arial"/>
          <w:b/>
          <w:bCs/>
          <w:sz w:val="22"/>
          <w:szCs w:val="22"/>
        </w:rPr>
      </w:pPr>
    </w:p>
    <w:p w14:paraId="10BAD881" w14:textId="77777777" w:rsidR="004F4B61" w:rsidRPr="00495094" w:rsidRDefault="004F4B61" w:rsidP="00A856F8">
      <w:pPr>
        <w:ind w:left="720"/>
        <w:rPr>
          <w:rFonts w:ascii="Arial" w:hAnsi="Arial" w:cs="Arial"/>
          <w:b/>
          <w:bCs/>
          <w:sz w:val="22"/>
          <w:szCs w:val="22"/>
        </w:rPr>
      </w:pPr>
    </w:p>
    <w:p w14:paraId="3D42345D" w14:textId="77777777" w:rsidR="002171E2" w:rsidRPr="00495094" w:rsidRDefault="002171E2" w:rsidP="007F4EEC">
      <w:pPr>
        <w:numPr>
          <w:ilvl w:val="0"/>
          <w:numId w:val="12"/>
        </w:numPr>
        <w:ind w:left="720"/>
        <w:rPr>
          <w:rFonts w:ascii="Arial" w:hAnsi="Arial" w:cs="Arial"/>
          <w:b/>
          <w:bCs/>
          <w:sz w:val="22"/>
          <w:szCs w:val="22"/>
        </w:rPr>
      </w:pPr>
      <w:r w:rsidRPr="00495094">
        <w:rPr>
          <w:rFonts w:ascii="Arial" w:hAnsi="Arial" w:cs="Arial"/>
          <w:b/>
          <w:bCs/>
          <w:sz w:val="22"/>
          <w:szCs w:val="22"/>
        </w:rPr>
        <w:lastRenderedPageBreak/>
        <w:t>Miscellaneous Income</w:t>
      </w:r>
    </w:p>
    <w:p w14:paraId="2FDFB0C6" w14:textId="77777777" w:rsidR="002171E2" w:rsidRPr="00495094" w:rsidRDefault="002171E2" w:rsidP="002171E2">
      <w:pPr>
        <w:rPr>
          <w:rFonts w:ascii="Arial" w:hAnsi="Arial" w:cs="Arial"/>
          <w:b/>
          <w:bCs/>
          <w:sz w:val="22"/>
          <w:szCs w:val="22"/>
          <w:u w:val="single"/>
        </w:rPr>
      </w:pPr>
    </w:p>
    <w:p w14:paraId="338D5F5E" w14:textId="5D3EF969" w:rsidR="002171E2" w:rsidRPr="00495094" w:rsidRDefault="003B2816" w:rsidP="002171E2">
      <w:pPr>
        <w:tabs>
          <w:tab w:val="left" w:pos="1260"/>
        </w:tabs>
        <w:rPr>
          <w:rFonts w:ascii="Arial" w:hAnsi="Arial" w:cs="Arial"/>
          <w:sz w:val="22"/>
          <w:szCs w:val="22"/>
        </w:rPr>
      </w:pPr>
      <w:r w:rsidRPr="00495094">
        <w:rPr>
          <w:rFonts w:ascii="Arial" w:hAnsi="Arial" w:cs="Arial"/>
          <w:sz w:val="22"/>
          <w:szCs w:val="22"/>
        </w:rPr>
        <w:t>This account includes the following:</w:t>
      </w:r>
    </w:p>
    <w:p w14:paraId="51905EE8" w14:textId="77777777" w:rsidR="002171E2" w:rsidRPr="00495094" w:rsidRDefault="002171E2" w:rsidP="002171E2">
      <w:pPr>
        <w:tabs>
          <w:tab w:val="left" w:pos="1260"/>
        </w:tabs>
        <w:rPr>
          <w:rFonts w:ascii="Arial" w:hAnsi="Arial" w:cs="Arial"/>
          <w:sz w:val="22"/>
          <w:szCs w:val="22"/>
        </w:rPr>
      </w:pPr>
    </w:p>
    <w:tbl>
      <w:tblPr>
        <w:tblW w:w="8550" w:type="dxa"/>
        <w:tblInd w:w="108" w:type="dxa"/>
        <w:tblLook w:val="04A0" w:firstRow="1" w:lastRow="0" w:firstColumn="1" w:lastColumn="0" w:noHBand="0" w:noVBand="1"/>
      </w:tblPr>
      <w:tblGrid>
        <w:gridCol w:w="5310"/>
        <w:gridCol w:w="1710"/>
        <w:gridCol w:w="1530"/>
      </w:tblGrid>
      <w:tr w:rsidR="00495094" w:rsidRPr="00495094" w14:paraId="7B44835B" w14:textId="77777777" w:rsidTr="003E228D">
        <w:trPr>
          <w:trHeight w:val="136"/>
        </w:trPr>
        <w:tc>
          <w:tcPr>
            <w:tcW w:w="5310" w:type="dxa"/>
            <w:tcBorders>
              <w:top w:val="single" w:sz="4" w:space="0" w:color="auto"/>
              <w:left w:val="nil"/>
              <w:bottom w:val="single" w:sz="4" w:space="0" w:color="auto"/>
              <w:right w:val="nil"/>
            </w:tcBorders>
            <w:shd w:val="clear" w:color="auto" w:fill="auto"/>
            <w:vAlign w:val="center"/>
            <w:hideMark/>
          </w:tcPr>
          <w:p w14:paraId="2A95C83E" w14:textId="77777777" w:rsidR="002171E2" w:rsidRPr="00495094" w:rsidRDefault="002171E2" w:rsidP="00FE42BD">
            <w:pPr>
              <w:rPr>
                <w:rFonts w:ascii="Arial" w:hAnsi="Arial" w:cs="Arial"/>
                <w:sz w:val="22"/>
                <w:szCs w:val="22"/>
                <w:lang w:val="en-PH" w:eastAsia="en-PH"/>
              </w:rPr>
            </w:pPr>
            <w:r w:rsidRPr="00495094">
              <w:rPr>
                <w:rFonts w:ascii="Arial" w:hAnsi="Arial" w:cs="Arial"/>
                <w:sz w:val="22"/>
                <w:szCs w:val="22"/>
                <w:lang w:val="en-PH" w:eastAsia="en-PH"/>
              </w:rPr>
              <w:t> </w:t>
            </w:r>
          </w:p>
        </w:tc>
        <w:tc>
          <w:tcPr>
            <w:tcW w:w="1710" w:type="dxa"/>
            <w:tcBorders>
              <w:top w:val="single" w:sz="4" w:space="0" w:color="auto"/>
              <w:left w:val="nil"/>
              <w:bottom w:val="single" w:sz="4" w:space="0" w:color="auto"/>
              <w:right w:val="nil"/>
            </w:tcBorders>
            <w:shd w:val="clear" w:color="auto" w:fill="auto"/>
            <w:vAlign w:val="bottom"/>
            <w:hideMark/>
          </w:tcPr>
          <w:p w14:paraId="4F2FC3D2" w14:textId="445AC278" w:rsidR="00CC6565" w:rsidRPr="00495094" w:rsidRDefault="00C41469" w:rsidP="006648BE">
            <w:pPr>
              <w:jc w:val="center"/>
              <w:rPr>
                <w:rFonts w:ascii="Arial" w:hAnsi="Arial" w:cs="Arial"/>
                <w:b/>
                <w:bCs/>
                <w:sz w:val="22"/>
                <w:szCs w:val="22"/>
                <w:lang w:val="en-PH" w:eastAsia="en-PH"/>
              </w:rPr>
            </w:pPr>
            <w:r w:rsidRPr="00495094">
              <w:rPr>
                <w:rFonts w:ascii="Arial" w:hAnsi="Arial" w:cs="Arial"/>
                <w:b/>
                <w:bCs/>
                <w:sz w:val="22"/>
                <w:szCs w:val="22"/>
                <w:lang w:val="en-PH" w:eastAsia="en-PH"/>
              </w:rPr>
              <w:t>2022</w:t>
            </w:r>
          </w:p>
        </w:tc>
        <w:tc>
          <w:tcPr>
            <w:tcW w:w="1530" w:type="dxa"/>
            <w:tcBorders>
              <w:top w:val="single" w:sz="4" w:space="0" w:color="auto"/>
              <w:left w:val="nil"/>
              <w:bottom w:val="single" w:sz="4" w:space="0" w:color="auto"/>
              <w:right w:val="nil"/>
            </w:tcBorders>
            <w:shd w:val="clear" w:color="auto" w:fill="auto"/>
            <w:vAlign w:val="center"/>
            <w:hideMark/>
          </w:tcPr>
          <w:p w14:paraId="76782C32" w14:textId="1FC52FB6" w:rsidR="00CC6565" w:rsidRPr="00495094" w:rsidRDefault="003E228D" w:rsidP="004A346E">
            <w:pPr>
              <w:jc w:val="center"/>
              <w:rPr>
                <w:rFonts w:ascii="Arial" w:hAnsi="Arial" w:cs="Arial"/>
                <w:b/>
                <w:bCs/>
                <w:sz w:val="22"/>
                <w:szCs w:val="22"/>
                <w:lang w:val="en-PH" w:eastAsia="en-PH"/>
              </w:rPr>
            </w:pPr>
            <w:r w:rsidRPr="00495094">
              <w:rPr>
                <w:rFonts w:ascii="Arial" w:hAnsi="Arial" w:cs="Arial"/>
                <w:b/>
                <w:bCs/>
                <w:sz w:val="22"/>
                <w:szCs w:val="22"/>
                <w:lang w:val="en-PH" w:eastAsia="en-PH"/>
              </w:rPr>
              <w:t>202</w:t>
            </w:r>
            <w:r w:rsidR="004A346E" w:rsidRPr="00495094">
              <w:rPr>
                <w:rFonts w:ascii="Arial" w:hAnsi="Arial" w:cs="Arial"/>
                <w:b/>
                <w:bCs/>
                <w:sz w:val="22"/>
                <w:szCs w:val="22"/>
                <w:lang w:val="en-PH" w:eastAsia="en-PH"/>
              </w:rPr>
              <w:t>1</w:t>
            </w:r>
          </w:p>
        </w:tc>
      </w:tr>
      <w:tr w:rsidR="00495094" w:rsidRPr="00495094" w14:paraId="61B8CF1C" w14:textId="77777777" w:rsidTr="00562CB5">
        <w:trPr>
          <w:trHeight w:val="20"/>
        </w:trPr>
        <w:tc>
          <w:tcPr>
            <w:tcW w:w="5310" w:type="dxa"/>
            <w:tcBorders>
              <w:top w:val="nil"/>
              <w:left w:val="nil"/>
              <w:bottom w:val="nil"/>
              <w:right w:val="nil"/>
            </w:tcBorders>
            <w:shd w:val="clear" w:color="auto" w:fill="auto"/>
            <w:noWrap/>
            <w:vAlign w:val="bottom"/>
          </w:tcPr>
          <w:p w14:paraId="0ACDED59" w14:textId="1C34E40F" w:rsidR="003E228D" w:rsidRPr="00495094" w:rsidRDefault="003E228D" w:rsidP="003E228D">
            <w:pPr>
              <w:jc w:val="left"/>
              <w:rPr>
                <w:rFonts w:ascii="Arial" w:hAnsi="Arial" w:cs="Arial"/>
                <w:sz w:val="22"/>
                <w:szCs w:val="22"/>
              </w:rPr>
            </w:pPr>
            <w:r w:rsidRPr="00495094">
              <w:rPr>
                <w:rFonts w:ascii="Arial" w:hAnsi="Arial" w:cs="Arial"/>
                <w:sz w:val="22"/>
                <w:szCs w:val="22"/>
              </w:rPr>
              <w:t>Rental income</w:t>
            </w:r>
          </w:p>
        </w:tc>
        <w:tc>
          <w:tcPr>
            <w:tcW w:w="1710" w:type="dxa"/>
            <w:tcBorders>
              <w:top w:val="nil"/>
              <w:left w:val="nil"/>
              <w:bottom w:val="nil"/>
              <w:right w:val="nil"/>
            </w:tcBorders>
            <w:shd w:val="clear" w:color="auto" w:fill="auto"/>
            <w:noWrap/>
            <w:vAlign w:val="bottom"/>
          </w:tcPr>
          <w:p w14:paraId="191732C5" w14:textId="288AA503" w:rsidR="003E228D" w:rsidRPr="00495094" w:rsidRDefault="00010919" w:rsidP="00010919">
            <w:pPr>
              <w:jc w:val="right"/>
              <w:rPr>
                <w:rFonts w:ascii="Arial" w:hAnsi="Arial" w:cs="Arial"/>
                <w:sz w:val="22"/>
                <w:szCs w:val="22"/>
              </w:rPr>
            </w:pPr>
            <w:r w:rsidRPr="00495094">
              <w:rPr>
                <w:rFonts w:ascii="Arial" w:hAnsi="Arial" w:cs="Arial"/>
                <w:sz w:val="22"/>
                <w:szCs w:val="22"/>
              </w:rPr>
              <w:t>7</w:t>
            </w:r>
            <w:r w:rsidR="00C41469" w:rsidRPr="00495094">
              <w:rPr>
                <w:rFonts w:ascii="Arial" w:hAnsi="Arial" w:cs="Arial"/>
                <w:sz w:val="22"/>
                <w:szCs w:val="22"/>
              </w:rPr>
              <w:t>,</w:t>
            </w:r>
            <w:r w:rsidRPr="00495094">
              <w:rPr>
                <w:rFonts w:ascii="Arial" w:hAnsi="Arial" w:cs="Arial"/>
                <w:sz w:val="22"/>
                <w:szCs w:val="22"/>
              </w:rPr>
              <w:t>0</w:t>
            </w:r>
            <w:r w:rsidR="00C41469" w:rsidRPr="00495094">
              <w:rPr>
                <w:rFonts w:ascii="Arial" w:hAnsi="Arial" w:cs="Arial"/>
                <w:sz w:val="22"/>
                <w:szCs w:val="22"/>
              </w:rPr>
              <w:t>1</w:t>
            </w:r>
            <w:r w:rsidRPr="00495094">
              <w:rPr>
                <w:rFonts w:ascii="Arial" w:hAnsi="Arial" w:cs="Arial"/>
                <w:sz w:val="22"/>
                <w:szCs w:val="22"/>
              </w:rPr>
              <w:t>0</w:t>
            </w:r>
            <w:r w:rsidR="00C41469" w:rsidRPr="00495094">
              <w:rPr>
                <w:rFonts w:ascii="Arial" w:hAnsi="Arial" w:cs="Arial"/>
                <w:sz w:val="22"/>
                <w:szCs w:val="22"/>
              </w:rPr>
              <w:t>,</w:t>
            </w:r>
            <w:r w:rsidRPr="00495094">
              <w:rPr>
                <w:rFonts w:ascii="Arial" w:hAnsi="Arial" w:cs="Arial"/>
                <w:sz w:val="22"/>
                <w:szCs w:val="22"/>
              </w:rPr>
              <w:t>105</w:t>
            </w:r>
          </w:p>
        </w:tc>
        <w:tc>
          <w:tcPr>
            <w:tcW w:w="1530" w:type="dxa"/>
            <w:tcBorders>
              <w:top w:val="nil"/>
              <w:left w:val="nil"/>
              <w:bottom w:val="nil"/>
              <w:right w:val="nil"/>
            </w:tcBorders>
            <w:shd w:val="clear" w:color="auto" w:fill="auto"/>
            <w:noWrap/>
            <w:vAlign w:val="bottom"/>
          </w:tcPr>
          <w:p w14:paraId="2A037554" w14:textId="2092C979" w:rsidR="003E228D" w:rsidRPr="00495094" w:rsidRDefault="00C43F3C" w:rsidP="00C43F3C">
            <w:pPr>
              <w:jc w:val="right"/>
              <w:rPr>
                <w:rFonts w:ascii="Arial" w:hAnsi="Arial" w:cs="Arial"/>
                <w:sz w:val="22"/>
                <w:szCs w:val="22"/>
              </w:rPr>
            </w:pPr>
            <w:r w:rsidRPr="00495094">
              <w:rPr>
                <w:rFonts w:ascii="Arial" w:hAnsi="Arial" w:cs="Arial"/>
                <w:sz w:val="22"/>
                <w:szCs w:val="22"/>
              </w:rPr>
              <w:t>6</w:t>
            </w:r>
            <w:r w:rsidR="004A346E" w:rsidRPr="00495094">
              <w:rPr>
                <w:rFonts w:ascii="Arial" w:hAnsi="Arial" w:cs="Arial"/>
                <w:sz w:val="22"/>
                <w:szCs w:val="22"/>
              </w:rPr>
              <w:t>,</w:t>
            </w:r>
            <w:r w:rsidRPr="00495094">
              <w:rPr>
                <w:rFonts w:ascii="Arial" w:hAnsi="Arial" w:cs="Arial"/>
                <w:sz w:val="22"/>
                <w:szCs w:val="22"/>
              </w:rPr>
              <w:t>41</w:t>
            </w:r>
            <w:r w:rsidR="004A346E" w:rsidRPr="00495094">
              <w:rPr>
                <w:rFonts w:ascii="Arial" w:hAnsi="Arial" w:cs="Arial"/>
                <w:sz w:val="22"/>
                <w:szCs w:val="22"/>
              </w:rPr>
              <w:t>1,</w:t>
            </w:r>
            <w:r w:rsidRPr="00495094">
              <w:rPr>
                <w:rFonts w:ascii="Arial" w:hAnsi="Arial" w:cs="Arial"/>
                <w:sz w:val="22"/>
                <w:szCs w:val="22"/>
              </w:rPr>
              <w:t>83</w:t>
            </w:r>
            <w:r w:rsidR="004A346E" w:rsidRPr="00495094">
              <w:rPr>
                <w:rFonts w:ascii="Arial" w:hAnsi="Arial" w:cs="Arial"/>
                <w:sz w:val="22"/>
                <w:szCs w:val="22"/>
              </w:rPr>
              <w:t>5</w:t>
            </w:r>
          </w:p>
        </w:tc>
      </w:tr>
      <w:tr w:rsidR="00495094" w:rsidRPr="00495094" w14:paraId="75AE17BB" w14:textId="77777777" w:rsidTr="00562CB5">
        <w:trPr>
          <w:trHeight w:val="20"/>
        </w:trPr>
        <w:tc>
          <w:tcPr>
            <w:tcW w:w="5310" w:type="dxa"/>
            <w:tcBorders>
              <w:top w:val="nil"/>
              <w:left w:val="nil"/>
              <w:bottom w:val="nil"/>
              <w:right w:val="nil"/>
            </w:tcBorders>
            <w:shd w:val="clear" w:color="auto" w:fill="auto"/>
            <w:noWrap/>
            <w:vAlign w:val="bottom"/>
            <w:hideMark/>
          </w:tcPr>
          <w:p w14:paraId="6993D475" w14:textId="77777777" w:rsidR="003E228D" w:rsidRPr="00495094" w:rsidRDefault="003E228D" w:rsidP="003E228D">
            <w:pPr>
              <w:jc w:val="left"/>
              <w:rPr>
                <w:rFonts w:ascii="Arial" w:hAnsi="Arial" w:cs="Arial"/>
                <w:sz w:val="22"/>
                <w:szCs w:val="22"/>
              </w:rPr>
            </w:pPr>
            <w:r w:rsidRPr="00495094">
              <w:rPr>
                <w:rFonts w:ascii="Arial" w:hAnsi="Arial" w:cs="Arial"/>
                <w:sz w:val="22"/>
                <w:szCs w:val="22"/>
              </w:rPr>
              <w:t>Other income</w:t>
            </w:r>
          </w:p>
        </w:tc>
        <w:tc>
          <w:tcPr>
            <w:tcW w:w="1710" w:type="dxa"/>
            <w:tcBorders>
              <w:top w:val="nil"/>
              <w:left w:val="nil"/>
              <w:bottom w:val="nil"/>
              <w:right w:val="nil"/>
            </w:tcBorders>
            <w:shd w:val="clear" w:color="auto" w:fill="auto"/>
            <w:noWrap/>
            <w:vAlign w:val="bottom"/>
          </w:tcPr>
          <w:p w14:paraId="674A81EA" w14:textId="6029F09A" w:rsidR="003E228D" w:rsidRPr="00495094" w:rsidRDefault="00C41469" w:rsidP="00010919">
            <w:pPr>
              <w:jc w:val="right"/>
              <w:rPr>
                <w:rFonts w:ascii="Arial" w:hAnsi="Arial" w:cs="Arial"/>
                <w:sz w:val="22"/>
                <w:szCs w:val="22"/>
              </w:rPr>
            </w:pPr>
            <w:r w:rsidRPr="00495094">
              <w:rPr>
                <w:rFonts w:ascii="Arial" w:hAnsi="Arial" w:cs="Arial"/>
                <w:sz w:val="22"/>
                <w:szCs w:val="22"/>
              </w:rPr>
              <w:t>1,</w:t>
            </w:r>
            <w:r w:rsidR="00010919" w:rsidRPr="00495094">
              <w:rPr>
                <w:rFonts w:ascii="Arial" w:hAnsi="Arial" w:cs="Arial"/>
                <w:sz w:val="22"/>
                <w:szCs w:val="22"/>
              </w:rPr>
              <w:t>4</w:t>
            </w:r>
            <w:r w:rsidR="000C6682" w:rsidRPr="00495094">
              <w:rPr>
                <w:rFonts w:ascii="Arial" w:hAnsi="Arial" w:cs="Arial"/>
                <w:sz w:val="22"/>
                <w:szCs w:val="22"/>
              </w:rPr>
              <w:t>4</w:t>
            </w:r>
            <w:r w:rsidR="00010919" w:rsidRPr="00495094">
              <w:rPr>
                <w:rFonts w:ascii="Arial" w:hAnsi="Arial" w:cs="Arial"/>
                <w:sz w:val="22"/>
                <w:szCs w:val="22"/>
              </w:rPr>
              <w:t>8</w:t>
            </w:r>
            <w:r w:rsidR="000C6682" w:rsidRPr="00495094">
              <w:rPr>
                <w:rFonts w:ascii="Arial" w:hAnsi="Arial" w:cs="Arial"/>
                <w:sz w:val="22"/>
                <w:szCs w:val="22"/>
              </w:rPr>
              <w:t>,</w:t>
            </w:r>
            <w:r w:rsidR="00010919" w:rsidRPr="00495094">
              <w:rPr>
                <w:rFonts w:ascii="Arial" w:hAnsi="Arial" w:cs="Arial"/>
                <w:sz w:val="22"/>
                <w:szCs w:val="22"/>
              </w:rPr>
              <w:t>4</w:t>
            </w:r>
            <w:r w:rsidR="000C6682" w:rsidRPr="00495094">
              <w:rPr>
                <w:rFonts w:ascii="Arial" w:hAnsi="Arial" w:cs="Arial"/>
                <w:sz w:val="22"/>
                <w:szCs w:val="22"/>
              </w:rPr>
              <w:t>0</w:t>
            </w:r>
            <w:r w:rsidR="00010919" w:rsidRPr="00495094">
              <w:rPr>
                <w:rFonts w:ascii="Arial" w:hAnsi="Arial" w:cs="Arial"/>
                <w:sz w:val="22"/>
                <w:szCs w:val="22"/>
              </w:rPr>
              <w:t>8</w:t>
            </w:r>
          </w:p>
        </w:tc>
        <w:tc>
          <w:tcPr>
            <w:tcW w:w="1530" w:type="dxa"/>
            <w:tcBorders>
              <w:top w:val="nil"/>
              <w:left w:val="nil"/>
              <w:bottom w:val="nil"/>
              <w:right w:val="nil"/>
            </w:tcBorders>
            <w:shd w:val="clear" w:color="auto" w:fill="auto"/>
            <w:noWrap/>
            <w:vAlign w:val="bottom"/>
            <w:hideMark/>
          </w:tcPr>
          <w:p w14:paraId="3066E00D" w14:textId="1E78AB70" w:rsidR="003E228D" w:rsidRPr="00495094" w:rsidRDefault="004A346E" w:rsidP="003E228D">
            <w:pPr>
              <w:jc w:val="right"/>
              <w:rPr>
                <w:rFonts w:ascii="Arial" w:hAnsi="Arial" w:cs="Arial"/>
                <w:sz w:val="22"/>
                <w:szCs w:val="22"/>
              </w:rPr>
            </w:pPr>
            <w:r w:rsidRPr="00495094">
              <w:rPr>
                <w:rFonts w:ascii="Arial" w:hAnsi="Arial" w:cs="Arial"/>
                <w:sz w:val="22"/>
                <w:szCs w:val="22"/>
              </w:rPr>
              <w:t>28,919</w:t>
            </w:r>
          </w:p>
        </w:tc>
      </w:tr>
      <w:tr w:rsidR="00495094" w:rsidRPr="00495094" w14:paraId="6ECABFAD" w14:textId="77777777" w:rsidTr="00562CB5">
        <w:trPr>
          <w:trHeight w:val="20"/>
        </w:trPr>
        <w:tc>
          <w:tcPr>
            <w:tcW w:w="5310" w:type="dxa"/>
            <w:tcBorders>
              <w:top w:val="single" w:sz="4" w:space="0" w:color="auto"/>
              <w:left w:val="nil"/>
              <w:bottom w:val="double" w:sz="6" w:space="0" w:color="auto"/>
              <w:right w:val="nil"/>
            </w:tcBorders>
            <w:shd w:val="clear" w:color="auto" w:fill="auto"/>
            <w:noWrap/>
            <w:vAlign w:val="bottom"/>
            <w:hideMark/>
          </w:tcPr>
          <w:p w14:paraId="32D145F0" w14:textId="77777777" w:rsidR="003E228D" w:rsidRPr="00495094" w:rsidRDefault="003E228D" w:rsidP="003E228D">
            <w:pPr>
              <w:jc w:val="left"/>
              <w:rPr>
                <w:rFonts w:ascii="Arial" w:hAnsi="Arial" w:cs="Arial"/>
                <w:bCs/>
                <w:sz w:val="22"/>
                <w:szCs w:val="22"/>
              </w:rPr>
            </w:pPr>
            <w:r w:rsidRPr="00495094">
              <w:rPr>
                <w:rFonts w:ascii="Arial" w:hAnsi="Arial" w:cs="Arial"/>
                <w:bCs/>
                <w:sz w:val="22"/>
                <w:szCs w:val="22"/>
              </w:rPr>
              <w:t> </w:t>
            </w:r>
          </w:p>
        </w:tc>
        <w:tc>
          <w:tcPr>
            <w:tcW w:w="1710" w:type="dxa"/>
            <w:tcBorders>
              <w:top w:val="single" w:sz="4" w:space="0" w:color="auto"/>
              <w:left w:val="nil"/>
              <w:bottom w:val="double" w:sz="6" w:space="0" w:color="auto"/>
              <w:right w:val="nil"/>
            </w:tcBorders>
            <w:shd w:val="clear" w:color="auto" w:fill="auto"/>
            <w:noWrap/>
            <w:vAlign w:val="bottom"/>
          </w:tcPr>
          <w:p w14:paraId="2174DC56" w14:textId="4CF6352C" w:rsidR="003E228D" w:rsidRPr="00495094" w:rsidRDefault="00010919" w:rsidP="00010919">
            <w:pPr>
              <w:jc w:val="right"/>
              <w:rPr>
                <w:rFonts w:ascii="Arial" w:hAnsi="Arial" w:cs="Arial"/>
                <w:bCs/>
                <w:sz w:val="22"/>
                <w:szCs w:val="22"/>
              </w:rPr>
            </w:pPr>
            <w:r w:rsidRPr="00495094">
              <w:rPr>
                <w:rFonts w:ascii="Arial" w:hAnsi="Arial" w:cs="Arial"/>
                <w:bCs/>
                <w:sz w:val="22"/>
                <w:szCs w:val="22"/>
              </w:rPr>
              <w:t>8</w:t>
            </w:r>
            <w:r w:rsidR="00C41469" w:rsidRPr="00495094">
              <w:rPr>
                <w:rFonts w:ascii="Arial" w:hAnsi="Arial" w:cs="Arial"/>
                <w:bCs/>
                <w:sz w:val="22"/>
                <w:szCs w:val="22"/>
              </w:rPr>
              <w:t>,</w:t>
            </w:r>
            <w:r w:rsidRPr="00495094">
              <w:rPr>
                <w:rFonts w:ascii="Arial" w:hAnsi="Arial" w:cs="Arial"/>
                <w:bCs/>
                <w:sz w:val="22"/>
                <w:szCs w:val="22"/>
              </w:rPr>
              <w:t>4</w:t>
            </w:r>
            <w:r w:rsidR="00C41469" w:rsidRPr="00495094">
              <w:rPr>
                <w:rFonts w:ascii="Arial" w:hAnsi="Arial" w:cs="Arial"/>
                <w:bCs/>
                <w:sz w:val="22"/>
                <w:szCs w:val="22"/>
              </w:rPr>
              <w:t>5</w:t>
            </w:r>
            <w:r w:rsidR="000C6682" w:rsidRPr="00495094">
              <w:rPr>
                <w:rFonts w:ascii="Arial" w:hAnsi="Arial" w:cs="Arial"/>
                <w:bCs/>
                <w:sz w:val="22"/>
                <w:szCs w:val="22"/>
              </w:rPr>
              <w:t>8</w:t>
            </w:r>
            <w:r w:rsidR="00C41469" w:rsidRPr="00495094">
              <w:rPr>
                <w:rFonts w:ascii="Arial" w:hAnsi="Arial" w:cs="Arial"/>
                <w:bCs/>
                <w:sz w:val="22"/>
                <w:szCs w:val="22"/>
              </w:rPr>
              <w:t>,</w:t>
            </w:r>
            <w:r w:rsidRPr="00495094">
              <w:rPr>
                <w:rFonts w:ascii="Arial" w:hAnsi="Arial" w:cs="Arial"/>
                <w:bCs/>
                <w:sz w:val="22"/>
                <w:szCs w:val="22"/>
              </w:rPr>
              <w:t>5</w:t>
            </w:r>
            <w:r w:rsidR="000C6682" w:rsidRPr="00495094">
              <w:rPr>
                <w:rFonts w:ascii="Arial" w:hAnsi="Arial" w:cs="Arial"/>
                <w:bCs/>
                <w:sz w:val="22"/>
                <w:szCs w:val="22"/>
              </w:rPr>
              <w:t>1</w:t>
            </w:r>
            <w:r w:rsidRPr="00495094">
              <w:rPr>
                <w:rFonts w:ascii="Arial" w:hAnsi="Arial" w:cs="Arial"/>
                <w:bCs/>
                <w:sz w:val="22"/>
                <w:szCs w:val="22"/>
              </w:rPr>
              <w:t>3</w:t>
            </w:r>
          </w:p>
        </w:tc>
        <w:tc>
          <w:tcPr>
            <w:tcW w:w="1530" w:type="dxa"/>
            <w:tcBorders>
              <w:top w:val="single" w:sz="4" w:space="0" w:color="auto"/>
              <w:left w:val="nil"/>
              <w:bottom w:val="double" w:sz="6" w:space="0" w:color="auto"/>
              <w:right w:val="nil"/>
            </w:tcBorders>
            <w:shd w:val="clear" w:color="auto" w:fill="auto"/>
            <w:noWrap/>
            <w:vAlign w:val="bottom"/>
            <w:hideMark/>
          </w:tcPr>
          <w:p w14:paraId="1B35820C" w14:textId="6C3C49ED" w:rsidR="003E228D" w:rsidRPr="00495094" w:rsidRDefault="00C43F3C" w:rsidP="00C43F3C">
            <w:pPr>
              <w:jc w:val="right"/>
              <w:rPr>
                <w:rFonts w:ascii="Arial" w:hAnsi="Arial" w:cs="Arial"/>
                <w:bCs/>
                <w:sz w:val="22"/>
                <w:szCs w:val="22"/>
              </w:rPr>
            </w:pPr>
            <w:r w:rsidRPr="00495094">
              <w:rPr>
                <w:rFonts w:ascii="Arial" w:hAnsi="Arial" w:cs="Arial"/>
                <w:bCs/>
                <w:sz w:val="22"/>
                <w:szCs w:val="22"/>
              </w:rPr>
              <w:t>6</w:t>
            </w:r>
            <w:r w:rsidR="00C41469" w:rsidRPr="00495094">
              <w:rPr>
                <w:rFonts w:ascii="Arial" w:hAnsi="Arial" w:cs="Arial"/>
                <w:bCs/>
                <w:sz w:val="22"/>
                <w:szCs w:val="22"/>
              </w:rPr>
              <w:t>,</w:t>
            </w:r>
            <w:r w:rsidRPr="00495094">
              <w:rPr>
                <w:rFonts w:ascii="Arial" w:hAnsi="Arial" w:cs="Arial"/>
                <w:bCs/>
                <w:sz w:val="22"/>
                <w:szCs w:val="22"/>
              </w:rPr>
              <w:t>440</w:t>
            </w:r>
            <w:r w:rsidR="00C41469" w:rsidRPr="00495094">
              <w:rPr>
                <w:rFonts w:ascii="Arial" w:hAnsi="Arial" w:cs="Arial"/>
                <w:bCs/>
                <w:sz w:val="22"/>
                <w:szCs w:val="22"/>
              </w:rPr>
              <w:t>,</w:t>
            </w:r>
            <w:r w:rsidRPr="00495094">
              <w:rPr>
                <w:rFonts w:ascii="Arial" w:hAnsi="Arial" w:cs="Arial"/>
                <w:bCs/>
                <w:sz w:val="22"/>
                <w:szCs w:val="22"/>
              </w:rPr>
              <w:t>75</w:t>
            </w:r>
            <w:r w:rsidR="00C41469" w:rsidRPr="00495094">
              <w:rPr>
                <w:rFonts w:ascii="Arial" w:hAnsi="Arial" w:cs="Arial"/>
                <w:bCs/>
                <w:sz w:val="22"/>
                <w:szCs w:val="22"/>
              </w:rPr>
              <w:t>4</w:t>
            </w:r>
          </w:p>
        </w:tc>
      </w:tr>
    </w:tbl>
    <w:p w14:paraId="537BD3DD" w14:textId="77777777" w:rsidR="00E8418D" w:rsidRPr="00495094" w:rsidRDefault="00E8418D" w:rsidP="0096001A">
      <w:pPr>
        <w:rPr>
          <w:rFonts w:ascii="Arial" w:hAnsi="Arial" w:cs="Arial"/>
          <w:b/>
          <w:bCs/>
          <w:sz w:val="22"/>
          <w:szCs w:val="22"/>
        </w:rPr>
      </w:pPr>
    </w:p>
    <w:p w14:paraId="1D5E511C" w14:textId="77777777" w:rsidR="00993A97" w:rsidRPr="00495094" w:rsidRDefault="00993A97" w:rsidP="0096001A">
      <w:pPr>
        <w:rPr>
          <w:rFonts w:ascii="Arial" w:hAnsi="Arial" w:cs="Arial"/>
          <w:b/>
          <w:bCs/>
          <w:sz w:val="22"/>
          <w:szCs w:val="22"/>
        </w:rPr>
      </w:pPr>
    </w:p>
    <w:p w14:paraId="2F0DC804" w14:textId="77777777" w:rsidR="00185B65" w:rsidRPr="00495094" w:rsidRDefault="00185B65" w:rsidP="007F4EEC">
      <w:pPr>
        <w:numPr>
          <w:ilvl w:val="0"/>
          <w:numId w:val="12"/>
        </w:numPr>
        <w:ind w:left="720"/>
        <w:rPr>
          <w:rFonts w:ascii="Arial" w:hAnsi="Arial" w:cs="Arial"/>
          <w:b/>
          <w:bCs/>
          <w:sz w:val="22"/>
          <w:szCs w:val="22"/>
        </w:rPr>
      </w:pPr>
      <w:r w:rsidRPr="00495094">
        <w:rPr>
          <w:rFonts w:ascii="Arial" w:hAnsi="Arial" w:cs="Arial"/>
          <w:b/>
          <w:bCs/>
          <w:sz w:val="22"/>
          <w:szCs w:val="22"/>
        </w:rPr>
        <w:t>Other Operating Expenses</w:t>
      </w:r>
    </w:p>
    <w:p w14:paraId="3EBF166C" w14:textId="77777777" w:rsidR="00185B65" w:rsidRPr="00495094" w:rsidRDefault="00185B65" w:rsidP="00185B65">
      <w:pPr>
        <w:pStyle w:val="ListParagraph"/>
        <w:ind w:left="810"/>
        <w:rPr>
          <w:b/>
          <w:bCs/>
        </w:rPr>
      </w:pPr>
    </w:p>
    <w:p w14:paraId="43CC0653" w14:textId="77777777" w:rsidR="00185B65" w:rsidRPr="00495094" w:rsidRDefault="00185B65" w:rsidP="007F4EEC">
      <w:pPr>
        <w:pStyle w:val="ListParagraph"/>
        <w:numPr>
          <w:ilvl w:val="0"/>
          <w:numId w:val="4"/>
        </w:numPr>
        <w:ind w:left="720" w:hanging="720"/>
        <w:rPr>
          <w:b/>
          <w:bCs/>
        </w:rPr>
      </w:pPr>
      <w:r w:rsidRPr="00495094">
        <w:rPr>
          <w:b/>
          <w:bCs/>
        </w:rPr>
        <w:t>Compensation and fringe benefits</w:t>
      </w:r>
    </w:p>
    <w:p w14:paraId="051B76DF" w14:textId="77777777" w:rsidR="00185B65" w:rsidRPr="00495094" w:rsidRDefault="00185B65" w:rsidP="00185B65">
      <w:pPr>
        <w:tabs>
          <w:tab w:val="left" w:pos="1260"/>
        </w:tabs>
        <w:rPr>
          <w:rFonts w:ascii="Arial" w:hAnsi="Arial" w:cs="Arial"/>
          <w:sz w:val="22"/>
          <w:szCs w:val="22"/>
        </w:rPr>
      </w:pPr>
      <w:r w:rsidRPr="00495094">
        <w:rPr>
          <w:rFonts w:ascii="Arial" w:hAnsi="Arial" w:cs="Arial"/>
          <w:b/>
          <w:bCs/>
          <w:sz w:val="22"/>
          <w:szCs w:val="22"/>
        </w:rPr>
        <w:tab/>
      </w:r>
      <w:r w:rsidRPr="00495094">
        <w:rPr>
          <w:rFonts w:ascii="Arial" w:hAnsi="Arial" w:cs="Arial"/>
          <w:b/>
          <w:bCs/>
          <w:sz w:val="22"/>
          <w:szCs w:val="22"/>
        </w:rPr>
        <w:tab/>
      </w:r>
    </w:p>
    <w:tbl>
      <w:tblPr>
        <w:tblW w:w="8550" w:type="dxa"/>
        <w:tblInd w:w="108" w:type="dxa"/>
        <w:tblLook w:val="04A0" w:firstRow="1" w:lastRow="0" w:firstColumn="1" w:lastColumn="0" w:noHBand="0" w:noVBand="1"/>
      </w:tblPr>
      <w:tblGrid>
        <w:gridCol w:w="5310"/>
        <w:gridCol w:w="1710"/>
        <w:gridCol w:w="1530"/>
      </w:tblGrid>
      <w:tr w:rsidR="00495094" w:rsidRPr="00495094" w14:paraId="445BD888" w14:textId="77777777" w:rsidTr="00EA6D85">
        <w:trPr>
          <w:trHeight w:val="20"/>
          <w:tblHeader/>
        </w:trPr>
        <w:tc>
          <w:tcPr>
            <w:tcW w:w="5310" w:type="dxa"/>
            <w:tcBorders>
              <w:top w:val="single" w:sz="4" w:space="0" w:color="auto"/>
              <w:left w:val="nil"/>
              <w:bottom w:val="single" w:sz="4" w:space="0" w:color="auto"/>
              <w:right w:val="nil"/>
            </w:tcBorders>
            <w:shd w:val="clear" w:color="auto" w:fill="auto"/>
            <w:vAlign w:val="center"/>
            <w:hideMark/>
          </w:tcPr>
          <w:p w14:paraId="09ABFEE4" w14:textId="77777777" w:rsidR="00185B65" w:rsidRPr="00495094" w:rsidRDefault="00185B65" w:rsidP="00FE50D1">
            <w:pPr>
              <w:rPr>
                <w:rFonts w:ascii="Arial" w:hAnsi="Arial" w:cs="Arial"/>
                <w:sz w:val="22"/>
                <w:szCs w:val="22"/>
                <w:lang w:val="en-PH" w:eastAsia="en-PH"/>
              </w:rPr>
            </w:pPr>
            <w:r w:rsidRPr="00495094">
              <w:rPr>
                <w:rFonts w:ascii="Arial" w:hAnsi="Arial" w:cs="Arial"/>
                <w:sz w:val="22"/>
                <w:szCs w:val="22"/>
                <w:lang w:val="en-PH" w:eastAsia="en-PH"/>
              </w:rPr>
              <w:t> </w:t>
            </w:r>
          </w:p>
        </w:tc>
        <w:tc>
          <w:tcPr>
            <w:tcW w:w="1710" w:type="dxa"/>
            <w:tcBorders>
              <w:top w:val="single" w:sz="4" w:space="0" w:color="auto"/>
              <w:left w:val="nil"/>
              <w:bottom w:val="single" w:sz="4" w:space="0" w:color="auto"/>
              <w:right w:val="nil"/>
            </w:tcBorders>
            <w:shd w:val="clear" w:color="auto" w:fill="auto"/>
            <w:hideMark/>
          </w:tcPr>
          <w:p w14:paraId="265E14F2" w14:textId="03AC4EFB" w:rsidR="00185B65" w:rsidRPr="00495094" w:rsidRDefault="00C41469" w:rsidP="00D70FB6">
            <w:pPr>
              <w:jc w:val="center"/>
              <w:rPr>
                <w:rFonts w:ascii="Arial" w:hAnsi="Arial" w:cs="Arial"/>
                <w:b/>
                <w:bCs/>
                <w:sz w:val="22"/>
                <w:szCs w:val="22"/>
                <w:lang w:val="en-PH" w:eastAsia="en-PH"/>
              </w:rPr>
            </w:pPr>
            <w:r w:rsidRPr="00495094">
              <w:rPr>
                <w:rFonts w:ascii="Arial" w:hAnsi="Arial" w:cs="Arial"/>
                <w:b/>
                <w:bCs/>
                <w:sz w:val="22"/>
                <w:szCs w:val="22"/>
                <w:lang w:val="en-PH" w:eastAsia="en-PH"/>
              </w:rPr>
              <w:t>2022</w:t>
            </w:r>
          </w:p>
        </w:tc>
        <w:tc>
          <w:tcPr>
            <w:tcW w:w="1530" w:type="dxa"/>
            <w:tcBorders>
              <w:top w:val="single" w:sz="4" w:space="0" w:color="auto"/>
              <w:left w:val="nil"/>
              <w:bottom w:val="single" w:sz="4" w:space="0" w:color="auto"/>
              <w:right w:val="nil"/>
            </w:tcBorders>
            <w:shd w:val="clear" w:color="auto" w:fill="auto"/>
            <w:vAlign w:val="center"/>
            <w:hideMark/>
          </w:tcPr>
          <w:p w14:paraId="02565086" w14:textId="15D0ED1B" w:rsidR="003B2816" w:rsidRPr="00495094" w:rsidRDefault="0032199B" w:rsidP="00C41469">
            <w:pPr>
              <w:jc w:val="center"/>
              <w:rPr>
                <w:rFonts w:ascii="Arial" w:hAnsi="Arial" w:cs="Arial"/>
                <w:b/>
                <w:bCs/>
                <w:sz w:val="22"/>
                <w:szCs w:val="22"/>
                <w:lang w:val="en-PH" w:eastAsia="en-PH"/>
              </w:rPr>
            </w:pPr>
            <w:r w:rsidRPr="00495094">
              <w:rPr>
                <w:rFonts w:ascii="Arial" w:hAnsi="Arial" w:cs="Arial"/>
                <w:b/>
                <w:bCs/>
                <w:sz w:val="22"/>
                <w:szCs w:val="22"/>
                <w:lang w:val="en-PH" w:eastAsia="en-PH"/>
              </w:rPr>
              <w:t>20</w:t>
            </w:r>
            <w:r w:rsidR="003E228D" w:rsidRPr="00495094">
              <w:rPr>
                <w:rFonts w:ascii="Arial" w:hAnsi="Arial" w:cs="Arial"/>
                <w:b/>
                <w:bCs/>
                <w:sz w:val="22"/>
                <w:szCs w:val="22"/>
                <w:lang w:val="en-PH" w:eastAsia="en-PH"/>
              </w:rPr>
              <w:t>2</w:t>
            </w:r>
            <w:r w:rsidR="00C41469" w:rsidRPr="00495094">
              <w:rPr>
                <w:rFonts w:ascii="Arial" w:hAnsi="Arial" w:cs="Arial"/>
                <w:b/>
                <w:bCs/>
                <w:sz w:val="22"/>
                <w:szCs w:val="22"/>
                <w:lang w:val="en-PH" w:eastAsia="en-PH"/>
              </w:rPr>
              <w:t>1</w:t>
            </w:r>
          </w:p>
        </w:tc>
      </w:tr>
      <w:tr w:rsidR="00495094" w:rsidRPr="00495094" w14:paraId="1BDD10A3" w14:textId="77777777" w:rsidTr="00EA6D85">
        <w:trPr>
          <w:trHeight w:val="20"/>
        </w:trPr>
        <w:tc>
          <w:tcPr>
            <w:tcW w:w="5310" w:type="dxa"/>
            <w:tcBorders>
              <w:top w:val="nil"/>
              <w:left w:val="nil"/>
              <w:right w:val="nil"/>
            </w:tcBorders>
            <w:shd w:val="clear" w:color="auto" w:fill="auto"/>
            <w:noWrap/>
            <w:vAlign w:val="bottom"/>
            <w:hideMark/>
          </w:tcPr>
          <w:p w14:paraId="128EA790" w14:textId="77777777" w:rsidR="003E228D" w:rsidRPr="00495094" w:rsidRDefault="003E228D" w:rsidP="003E228D">
            <w:pPr>
              <w:jc w:val="left"/>
              <w:rPr>
                <w:rFonts w:ascii="Arial" w:hAnsi="Arial" w:cs="Arial"/>
                <w:sz w:val="22"/>
                <w:szCs w:val="22"/>
                <w:lang w:val="en-PH" w:eastAsia="en-PH"/>
              </w:rPr>
            </w:pPr>
            <w:r w:rsidRPr="00495094">
              <w:rPr>
                <w:rFonts w:ascii="Arial" w:hAnsi="Arial" w:cs="Arial"/>
                <w:sz w:val="22"/>
                <w:szCs w:val="22"/>
              </w:rPr>
              <w:t>Salaries and Wages</w:t>
            </w:r>
          </w:p>
        </w:tc>
        <w:tc>
          <w:tcPr>
            <w:tcW w:w="1710" w:type="dxa"/>
            <w:tcBorders>
              <w:top w:val="nil"/>
              <w:left w:val="nil"/>
              <w:right w:val="nil"/>
            </w:tcBorders>
            <w:shd w:val="clear" w:color="auto" w:fill="auto"/>
            <w:noWrap/>
            <w:vAlign w:val="bottom"/>
          </w:tcPr>
          <w:p w14:paraId="05BEF4BE" w14:textId="39A77D32" w:rsidR="003E228D" w:rsidRPr="00495094" w:rsidRDefault="003E228D" w:rsidP="00C41469">
            <w:pPr>
              <w:jc w:val="right"/>
              <w:rPr>
                <w:rFonts w:ascii="Arial" w:hAnsi="Arial" w:cs="Arial"/>
                <w:sz w:val="22"/>
                <w:szCs w:val="22"/>
              </w:rPr>
            </w:pPr>
            <w:r w:rsidRPr="00495094">
              <w:rPr>
                <w:rFonts w:ascii="Arial" w:hAnsi="Arial" w:cs="Arial"/>
                <w:sz w:val="22"/>
                <w:szCs w:val="22"/>
              </w:rPr>
              <w:t>3,</w:t>
            </w:r>
            <w:r w:rsidR="00C41469" w:rsidRPr="00495094">
              <w:rPr>
                <w:rFonts w:ascii="Arial" w:hAnsi="Arial" w:cs="Arial"/>
                <w:sz w:val="22"/>
                <w:szCs w:val="22"/>
              </w:rPr>
              <w:t>676,422</w:t>
            </w:r>
          </w:p>
        </w:tc>
        <w:tc>
          <w:tcPr>
            <w:tcW w:w="1530" w:type="dxa"/>
            <w:tcBorders>
              <w:top w:val="nil"/>
              <w:left w:val="nil"/>
              <w:right w:val="nil"/>
            </w:tcBorders>
            <w:shd w:val="clear" w:color="auto" w:fill="auto"/>
            <w:noWrap/>
            <w:vAlign w:val="bottom"/>
            <w:hideMark/>
          </w:tcPr>
          <w:p w14:paraId="09BFBDB2" w14:textId="1F9BA9AF" w:rsidR="003E228D" w:rsidRPr="00495094" w:rsidRDefault="00C41469" w:rsidP="003E228D">
            <w:pPr>
              <w:jc w:val="right"/>
              <w:rPr>
                <w:rFonts w:ascii="Arial" w:hAnsi="Arial" w:cs="Arial"/>
                <w:sz w:val="22"/>
                <w:szCs w:val="22"/>
              </w:rPr>
            </w:pPr>
            <w:r w:rsidRPr="00495094">
              <w:rPr>
                <w:rFonts w:ascii="Arial" w:hAnsi="Arial" w:cs="Arial"/>
                <w:sz w:val="22"/>
                <w:szCs w:val="22"/>
              </w:rPr>
              <w:t>3,129,509</w:t>
            </w:r>
          </w:p>
        </w:tc>
      </w:tr>
      <w:tr w:rsidR="00495094" w:rsidRPr="00495094" w14:paraId="7BCA61FC" w14:textId="77777777" w:rsidTr="00EA6D85">
        <w:trPr>
          <w:trHeight w:val="20"/>
        </w:trPr>
        <w:tc>
          <w:tcPr>
            <w:tcW w:w="5310" w:type="dxa"/>
            <w:tcBorders>
              <w:top w:val="nil"/>
              <w:left w:val="nil"/>
              <w:bottom w:val="single" w:sz="2" w:space="0" w:color="auto"/>
              <w:right w:val="nil"/>
            </w:tcBorders>
            <w:shd w:val="clear" w:color="auto" w:fill="auto"/>
            <w:noWrap/>
            <w:vAlign w:val="bottom"/>
          </w:tcPr>
          <w:p w14:paraId="0AD3EED2" w14:textId="77777777" w:rsidR="003E228D" w:rsidRPr="00495094" w:rsidRDefault="003E228D" w:rsidP="003E228D">
            <w:pPr>
              <w:jc w:val="left"/>
              <w:rPr>
                <w:rFonts w:ascii="Arial" w:hAnsi="Arial" w:cs="Arial"/>
                <w:sz w:val="22"/>
                <w:szCs w:val="22"/>
              </w:rPr>
            </w:pPr>
            <w:r w:rsidRPr="00495094">
              <w:rPr>
                <w:rFonts w:ascii="Arial" w:hAnsi="Arial" w:cs="Arial"/>
                <w:sz w:val="22"/>
                <w:szCs w:val="22"/>
              </w:rPr>
              <w:t>Fringe Benefits</w:t>
            </w:r>
          </w:p>
        </w:tc>
        <w:tc>
          <w:tcPr>
            <w:tcW w:w="1710" w:type="dxa"/>
            <w:tcBorders>
              <w:top w:val="nil"/>
              <w:left w:val="nil"/>
              <w:bottom w:val="single" w:sz="2" w:space="0" w:color="auto"/>
              <w:right w:val="nil"/>
            </w:tcBorders>
            <w:shd w:val="clear" w:color="auto" w:fill="auto"/>
            <w:noWrap/>
            <w:vAlign w:val="bottom"/>
          </w:tcPr>
          <w:p w14:paraId="7F7DAB34" w14:textId="77626131" w:rsidR="003E228D" w:rsidRPr="00495094" w:rsidRDefault="00380D34" w:rsidP="00D76A42">
            <w:pPr>
              <w:jc w:val="right"/>
              <w:rPr>
                <w:rFonts w:ascii="Arial" w:hAnsi="Arial" w:cs="Arial"/>
                <w:sz w:val="22"/>
                <w:szCs w:val="22"/>
              </w:rPr>
            </w:pPr>
            <w:r w:rsidRPr="00495094">
              <w:rPr>
                <w:rFonts w:ascii="Arial" w:hAnsi="Arial" w:cs="Arial"/>
                <w:sz w:val="22"/>
                <w:szCs w:val="22"/>
              </w:rPr>
              <w:t>1,</w:t>
            </w:r>
            <w:r w:rsidR="00010919" w:rsidRPr="00495094">
              <w:rPr>
                <w:rFonts w:ascii="Arial" w:hAnsi="Arial" w:cs="Arial"/>
                <w:sz w:val="22"/>
                <w:szCs w:val="22"/>
              </w:rPr>
              <w:t>42</w:t>
            </w:r>
            <w:r w:rsidR="00C41469" w:rsidRPr="00495094">
              <w:rPr>
                <w:rFonts w:ascii="Arial" w:hAnsi="Arial" w:cs="Arial"/>
                <w:sz w:val="22"/>
                <w:szCs w:val="22"/>
              </w:rPr>
              <w:t>1,</w:t>
            </w:r>
            <w:r w:rsidR="00010919" w:rsidRPr="00495094">
              <w:rPr>
                <w:rFonts w:ascii="Arial" w:hAnsi="Arial" w:cs="Arial"/>
                <w:sz w:val="22"/>
                <w:szCs w:val="22"/>
              </w:rPr>
              <w:t>3</w:t>
            </w:r>
            <w:r w:rsidR="00D76A42" w:rsidRPr="00495094">
              <w:rPr>
                <w:rFonts w:ascii="Arial" w:hAnsi="Arial" w:cs="Arial"/>
                <w:sz w:val="22"/>
                <w:szCs w:val="22"/>
              </w:rPr>
              <w:t>70</w:t>
            </w:r>
          </w:p>
        </w:tc>
        <w:tc>
          <w:tcPr>
            <w:tcW w:w="1530" w:type="dxa"/>
            <w:tcBorders>
              <w:top w:val="nil"/>
              <w:left w:val="nil"/>
              <w:bottom w:val="single" w:sz="2" w:space="0" w:color="auto"/>
              <w:right w:val="nil"/>
            </w:tcBorders>
            <w:shd w:val="clear" w:color="auto" w:fill="auto"/>
            <w:noWrap/>
            <w:vAlign w:val="bottom"/>
          </w:tcPr>
          <w:p w14:paraId="131DDD95" w14:textId="6E55FD52" w:rsidR="003E228D" w:rsidRPr="00495094" w:rsidRDefault="00C41469" w:rsidP="003E228D">
            <w:pPr>
              <w:jc w:val="right"/>
              <w:rPr>
                <w:rFonts w:ascii="Arial" w:hAnsi="Arial" w:cs="Arial"/>
                <w:sz w:val="22"/>
                <w:szCs w:val="22"/>
              </w:rPr>
            </w:pPr>
            <w:r w:rsidRPr="00495094">
              <w:rPr>
                <w:rFonts w:ascii="Arial" w:hAnsi="Arial" w:cs="Arial"/>
                <w:sz w:val="22"/>
                <w:szCs w:val="22"/>
              </w:rPr>
              <w:t>1,526,342</w:t>
            </w:r>
          </w:p>
        </w:tc>
      </w:tr>
      <w:tr w:rsidR="00495094" w:rsidRPr="00495094" w14:paraId="5E1E7BC7" w14:textId="77777777" w:rsidTr="00EA6D85">
        <w:trPr>
          <w:trHeight w:val="20"/>
        </w:trPr>
        <w:tc>
          <w:tcPr>
            <w:tcW w:w="5310" w:type="dxa"/>
            <w:tcBorders>
              <w:top w:val="single" w:sz="2" w:space="0" w:color="auto"/>
              <w:left w:val="nil"/>
              <w:bottom w:val="nil"/>
              <w:right w:val="nil"/>
            </w:tcBorders>
            <w:shd w:val="clear" w:color="auto" w:fill="auto"/>
            <w:noWrap/>
            <w:vAlign w:val="bottom"/>
          </w:tcPr>
          <w:p w14:paraId="1E1DFDFB" w14:textId="77777777" w:rsidR="003E228D" w:rsidRPr="00495094" w:rsidRDefault="003E228D" w:rsidP="003E228D">
            <w:pPr>
              <w:jc w:val="left"/>
              <w:rPr>
                <w:rFonts w:ascii="Arial" w:hAnsi="Arial" w:cs="Arial"/>
                <w:sz w:val="22"/>
                <w:szCs w:val="22"/>
              </w:rPr>
            </w:pPr>
            <w:r w:rsidRPr="00495094">
              <w:rPr>
                <w:rFonts w:ascii="Arial" w:hAnsi="Arial" w:cs="Arial"/>
                <w:sz w:val="22"/>
                <w:szCs w:val="22"/>
              </w:rPr>
              <w:t>Government Contribution</w:t>
            </w:r>
          </w:p>
        </w:tc>
        <w:tc>
          <w:tcPr>
            <w:tcW w:w="1710" w:type="dxa"/>
            <w:tcBorders>
              <w:top w:val="single" w:sz="2" w:space="0" w:color="auto"/>
              <w:left w:val="nil"/>
              <w:bottom w:val="nil"/>
              <w:right w:val="nil"/>
            </w:tcBorders>
            <w:shd w:val="clear" w:color="auto" w:fill="auto"/>
            <w:noWrap/>
            <w:vAlign w:val="bottom"/>
          </w:tcPr>
          <w:p w14:paraId="7FA53C5A" w14:textId="6FEB16BF" w:rsidR="003E228D" w:rsidRPr="00495094" w:rsidRDefault="00C41469" w:rsidP="00D76A42">
            <w:pPr>
              <w:jc w:val="right"/>
              <w:rPr>
                <w:rFonts w:ascii="Arial" w:hAnsi="Arial" w:cs="Arial"/>
                <w:sz w:val="22"/>
                <w:szCs w:val="22"/>
              </w:rPr>
            </w:pPr>
            <w:r w:rsidRPr="00495094">
              <w:rPr>
                <w:rFonts w:ascii="Arial" w:hAnsi="Arial" w:cs="Arial"/>
                <w:sz w:val="22"/>
                <w:szCs w:val="22"/>
              </w:rPr>
              <w:t>253,53</w:t>
            </w:r>
            <w:r w:rsidR="00D76A42" w:rsidRPr="00495094">
              <w:rPr>
                <w:rFonts w:ascii="Arial" w:hAnsi="Arial" w:cs="Arial"/>
                <w:sz w:val="22"/>
                <w:szCs w:val="22"/>
              </w:rPr>
              <w:t>1</w:t>
            </w:r>
          </w:p>
        </w:tc>
        <w:tc>
          <w:tcPr>
            <w:tcW w:w="1530" w:type="dxa"/>
            <w:tcBorders>
              <w:top w:val="single" w:sz="2" w:space="0" w:color="auto"/>
              <w:left w:val="nil"/>
              <w:bottom w:val="nil"/>
              <w:right w:val="nil"/>
            </w:tcBorders>
            <w:shd w:val="clear" w:color="auto" w:fill="auto"/>
            <w:noWrap/>
            <w:vAlign w:val="bottom"/>
          </w:tcPr>
          <w:p w14:paraId="0109556A" w14:textId="66B5F09B" w:rsidR="003E228D" w:rsidRPr="00495094" w:rsidRDefault="00C41469" w:rsidP="003E228D">
            <w:pPr>
              <w:jc w:val="right"/>
              <w:rPr>
                <w:rFonts w:ascii="Arial" w:hAnsi="Arial" w:cs="Arial"/>
                <w:sz w:val="22"/>
                <w:szCs w:val="22"/>
              </w:rPr>
            </w:pPr>
            <w:r w:rsidRPr="00495094">
              <w:rPr>
                <w:rFonts w:ascii="Arial" w:hAnsi="Arial" w:cs="Arial"/>
                <w:sz w:val="22"/>
                <w:szCs w:val="22"/>
              </w:rPr>
              <w:t>196,008</w:t>
            </w:r>
          </w:p>
        </w:tc>
      </w:tr>
      <w:tr w:rsidR="00495094" w:rsidRPr="00495094" w14:paraId="46DDF765" w14:textId="77777777" w:rsidTr="00562CB5">
        <w:trPr>
          <w:trHeight w:val="135"/>
        </w:trPr>
        <w:tc>
          <w:tcPr>
            <w:tcW w:w="5310" w:type="dxa"/>
            <w:tcBorders>
              <w:top w:val="nil"/>
              <w:left w:val="nil"/>
              <w:bottom w:val="single" w:sz="4" w:space="0" w:color="auto"/>
              <w:right w:val="nil"/>
            </w:tcBorders>
            <w:shd w:val="clear" w:color="auto" w:fill="auto"/>
            <w:noWrap/>
            <w:vAlign w:val="bottom"/>
            <w:hideMark/>
          </w:tcPr>
          <w:p w14:paraId="527F6AF1" w14:textId="77777777" w:rsidR="003E228D" w:rsidRPr="00495094" w:rsidRDefault="003E228D" w:rsidP="003E228D">
            <w:pPr>
              <w:jc w:val="left"/>
              <w:rPr>
                <w:rFonts w:ascii="Arial" w:hAnsi="Arial" w:cs="Arial"/>
                <w:sz w:val="22"/>
                <w:szCs w:val="22"/>
              </w:rPr>
            </w:pPr>
            <w:r w:rsidRPr="00495094">
              <w:rPr>
                <w:rFonts w:ascii="Arial" w:hAnsi="Arial" w:cs="Arial"/>
                <w:sz w:val="22"/>
                <w:szCs w:val="22"/>
              </w:rPr>
              <w:t>Other compensation and benefits</w:t>
            </w:r>
          </w:p>
        </w:tc>
        <w:tc>
          <w:tcPr>
            <w:tcW w:w="1710" w:type="dxa"/>
            <w:tcBorders>
              <w:top w:val="nil"/>
              <w:left w:val="nil"/>
              <w:bottom w:val="single" w:sz="4" w:space="0" w:color="auto"/>
              <w:right w:val="nil"/>
            </w:tcBorders>
            <w:shd w:val="clear" w:color="auto" w:fill="auto"/>
            <w:noWrap/>
            <w:vAlign w:val="bottom"/>
          </w:tcPr>
          <w:p w14:paraId="7D368932" w14:textId="7B9BF447" w:rsidR="003E228D" w:rsidRPr="00495094" w:rsidRDefault="00D76A42" w:rsidP="00D76A42">
            <w:pPr>
              <w:jc w:val="right"/>
              <w:rPr>
                <w:rFonts w:ascii="Arial" w:hAnsi="Arial" w:cs="Arial"/>
                <w:sz w:val="22"/>
                <w:szCs w:val="22"/>
              </w:rPr>
            </w:pPr>
            <w:r w:rsidRPr="00495094">
              <w:rPr>
                <w:rFonts w:ascii="Arial" w:hAnsi="Arial" w:cs="Arial"/>
                <w:sz w:val="22"/>
                <w:szCs w:val="22"/>
              </w:rPr>
              <w:t>1</w:t>
            </w:r>
            <w:r w:rsidR="00C41469" w:rsidRPr="00495094">
              <w:rPr>
                <w:rFonts w:ascii="Arial" w:hAnsi="Arial" w:cs="Arial"/>
                <w:sz w:val="22"/>
                <w:szCs w:val="22"/>
              </w:rPr>
              <w:t>,</w:t>
            </w:r>
            <w:r w:rsidRPr="00495094">
              <w:rPr>
                <w:rFonts w:ascii="Arial" w:hAnsi="Arial" w:cs="Arial"/>
                <w:sz w:val="22"/>
                <w:szCs w:val="22"/>
              </w:rPr>
              <w:t>8</w:t>
            </w:r>
            <w:r w:rsidR="00C41469" w:rsidRPr="00495094">
              <w:rPr>
                <w:rFonts w:ascii="Arial" w:hAnsi="Arial" w:cs="Arial"/>
                <w:sz w:val="22"/>
                <w:szCs w:val="22"/>
              </w:rPr>
              <w:t>3</w:t>
            </w:r>
            <w:r w:rsidRPr="00495094">
              <w:rPr>
                <w:rFonts w:ascii="Arial" w:hAnsi="Arial" w:cs="Arial"/>
                <w:sz w:val="22"/>
                <w:szCs w:val="22"/>
              </w:rPr>
              <w:t>8</w:t>
            </w:r>
            <w:r w:rsidR="00C41469" w:rsidRPr="00495094">
              <w:rPr>
                <w:rFonts w:ascii="Arial" w:hAnsi="Arial" w:cs="Arial"/>
                <w:sz w:val="22"/>
                <w:szCs w:val="22"/>
              </w:rPr>
              <w:t>,6</w:t>
            </w:r>
            <w:r w:rsidRPr="00495094">
              <w:rPr>
                <w:rFonts w:ascii="Arial" w:hAnsi="Arial" w:cs="Arial"/>
                <w:sz w:val="22"/>
                <w:szCs w:val="22"/>
              </w:rPr>
              <w:t>50</w:t>
            </w:r>
          </w:p>
        </w:tc>
        <w:tc>
          <w:tcPr>
            <w:tcW w:w="1530" w:type="dxa"/>
            <w:tcBorders>
              <w:top w:val="nil"/>
              <w:left w:val="nil"/>
              <w:bottom w:val="single" w:sz="4" w:space="0" w:color="auto"/>
              <w:right w:val="nil"/>
            </w:tcBorders>
            <w:shd w:val="clear" w:color="auto" w:fill="auto"/>
            <w:noWrap/>
            <w:vAlign w:val="bottom"/>
            <w:hideMark/>
          </w:tcPr>
          <w:p w14:paraId="303A47B7" w14:textId="62B11ADB" w:rsidR="003E228D" w:rsidRPr="00495094" w:rsidRDefault="00C41469" w:rsidP="003E228D">
            <w:pPr>
              <w:jc w:val="right"/>
              <w:rPr>
                <w:rFonts w:ascii="Arial" w:hAnsi="Arial" w:cs="Arial"/>
                <w:sz w:val="22"/>
                <w:szCs w:val="22"/>
              </w:rPr>
            </w:pPr>
            <w:r w:rsidRPr="00495094">
              <w:rPr>
                <w:rFonts w:ascii="Arial" w:hAnsi="Arial" w:cs="Arial"/>
                <w:sz w:val="22"/>
                <w:szCs w:val="22"/>
              </w:rPr>
              <w:t>988,000</w:t>
            </w:r>
          </w:p>
        </w:tc>
      </w:tr>
      <w:tr w:rsidR="00495094" w:rsidRPr="00495094" w14:paraId="62755AF8" w14:textId="77777777" w:rsidTr="00562CB5">
        <w:trPr>
          <w:trHeight w:val="20"/>
        </w:trPr>
        <w:tc>
          <w:tcPr>
            <w:tcW w:w="5310" w:type="dxa"/>
            <w:tcBorders>
              <w:top w:val="single" w:sz="4" w:space="0" w:color="auto"/>
              <w:left w:val="nil"/>
              <w:bottom w:val="double" w:sz="4" w:space="0" w:color="auto"/>
              <w:right w:val="nil"/>
            </w:tcBorders>
            <w:shd w:val="clear" w:color="auto" w:fill="auto"/>
            <w:noWrap/>
            <w:vAlign w:val="bottom"/>
            <w:hideMark/>
          </w:tcPr>
          <w:p w14:paraId="4C68B535" w14:textId="77777777" w:rsidR="003E228D" w:rsidRPr="00495094" w:rsidRDefault="003E228D" w:rsidP="003E228D">
            <w:pPr>
              <w:jc w:val="left"/>
              <w:rPr>
                <w:rFonts w:ascii="Arial" w:hAnsi="Arial" w:cs="Arial"/>
                <w:bCs/>
                <w:sz w:val="22"/>
                <w:szCs w:val="22"/>
              </w:rPr>
            </w:pPr>
            <w:r w:rsidRPr="00495094">
              <w:rPr>
                <w:rFonts w:ascii="Arial" w:hAnsi="Arial" w:cs="Arial"/>
                <w:bCs/>
                <w:sz w:val="22"/>
                <w:szCs w:val="22"/>
              </w:rPr>
              <w:t> </w:t>
            </w:r>
          </w:p>
        </w:tc>
        <w:tc>
          <w:tcPr>
            <w:tcW w:w="1710" w:type="dxa"/>
            <w:tcBorders>
              <w:top w:val="single" w:sz="4" w:space="0" w:color="auto"/>
              <w:left w:val="nil"/>
              <w:bottom w:val="double" w:sz="4" w:space="0" w:color="auto"/>
              <w:right w:val="nil"/>
            </w:tcBorders>
            <w:shd w:val="clear" w:color="auto" w:fill="auto"/>
            <w:noWrap/>
            <w:vAlign w:val="bottom"/>
          </w:tcPr>
          <w:p w14:paraId="67FC9216" w14:textId="1641E09B" w:rsidR="003E228D" w:rsidRPr="00495094" w:rsidRDefault="00C41469" w:rsidP="00D76A42">
            <w:pPr>
              <w:jc w:val="right"/>
              <w:rPr>
                <w:rFonts w:ascii="Arial" w:hAnsi="Arial" w:cs="Arial"/>
                <w:bCs/>
                <w:sz w:val="22"/>
                <w:szCs w:val="22"/>
              </w:rPr>
            </w:pPr>
            <w:r w:rsidRPr="00495094">
              <w:rPr>
                <w:rFonts w:ascii="Arial" w:hAnsi="Arial" w:cs="Arial"/>
                <w:bCs/>
                <w:sz w:val="22"/>
                <w:szCs w:val="22"/>
              </w:rPr>
              <w:t>7,</w:t>
            </w:r>
            <w:r w:rsidR="00D76A42" w:rsidRPr="00495094">
              <w:rPr>
                <w:rFonts w:ascii="Arial" w:hAnsi="Arial" w:cs="Arial"/>
                <w:bCs/>
                <w:sz w:val="22"/>
                <w:szCs w:val="22"/>
              </w:rPr>
              <w:t>189</w:t>
            </w:r>
            <w:r w:rsidRPr="00495094">
              <w:rPr>
                <w:rFonts w:ascii="Arial" w:hAnsi="Arial" w:cs="Arial"/>
                <w:bCs/>
                <w:sz w:val="22"/>
                <w:szCs w:val="22"/>
              </w:rPr>
              <w:t>,</w:t>
            </w:r>
            <w:r w:rsidR="00D76A42" w:rsidRPr="00495094">
              <w:rPr>
                <w:rFonts w:ascii="Arial" w:hAnsi="Arial" w:cs="Arial"/>
                <w:bCs/>
                <w:sz w:val="22"/>
                <w:szCs w:val="22"/>
              </w:rPr>
              <w:t>9</w:t>
            </w:r>
            <w:r w:rsidRPr="00495094">
              <w:rPr>
                <w:rFonts w:ascii="Arial" w:hAnsi="Arial" w:cs="Arial"/>
                <w:bCs/>
                <w:sz w:val="22"/>
                <w:szCs w:val="22"/>
              </w:rPr>
              <w:t>73</w:t>
            </w:r>
          </w:p>
        </w:tc>
        <w:tc>
          <w:tcPr>
            <w:tcW w:w="1530" w:type="dxa"/>
            <w:tcBorders>
              <w:top w:val="single" w:sz="4" w:space="0" w:color="auto"/>
              <w:left w:val="nil"/>
              <w:bottom w:val="double" w:sz="4" w:space="0" w:color="auto"/>
              <w:right w:val="nil"/>
            </w:tcBorders>
            <w:shd w:val="clear" w:color="auto" w:fill="auto"/>
            <w:noWrap/>
            <w:vAlign w:val="bottom"/>
            <w:hideMark/>
          </w:tcPr>
          <w:p w14:paraId="5F7D3C0B" w14:textId="7772DE83" w:rsidR="003E228D" w:rsidRPr="00495094" w:rsidRDefault="00C41469" w:rsidP="003E228D">
            <w:pPr>
              <w:jc w:val="right"/>
              <w:rPr>
                <w:rFonts w:ascii="Arial" w:hAnsi="Arial" w:cs="Arial"/>
                <w:bCs/>
                <w:sz w:val="22"/>
                <w:szCs w:val="22"/>
              </w:rPr>
            </w:pPr>
            <w:r w:rsidRPr="00495094">
              <w:rPr>
                <w:rFonts w:ascii="Arial" w:hAnsi="Arial" w:cs="Arial"/>
                <w:bCs/>
                <w:sz w:val="22"/>
                <w:szCs w:val="22"/>
              </w:rPr>
              <w:t>5,839,859</w:t>
            </w:r>
          </w:p>
        </w:tc>
      </w:tr>
    </w:tbl>
    <w:p w14:paraId="3E11782A" w14:textId="77777777" w:rsidR="0034420E" w:rsidRPr="00495094" w:rsidRDefault="0034420E" w:rsidP="00FA06CD">
      <w:pPr>
        <w:pStyle w:val="ListParagraph"/>
        <w:ind w:left="720"/>
        <w:rPr>
          <w:b/>
          <w:bCs/>
        </w:rPr>
      </w:pPr>
    </w:p>
    <w:p w14:paraId="09502FBE" w14:textId="290A8542" w:rsidR="00185B65" w:rsidRPr="00495094" w:rsidRDefault="00185B65" w:rsidP="007F4EEC">
      <w:pPr>
        <w:pStyle w:val="ListParagraph"/>
        <w:numPr>
          <w:ilvl w:val="0"/>
          <w:numId w:val="4"/>
        </w:numPr>
        <w:ind w:left="720" w:hanging="720"/>
        <w:rPr>
          <w:b/>
          <w:bCs/>
        </w:rPr>
      </w:pPr>
      <w:r w:rsidRPr="00495094">
        <w:rPr>
          <w:b/>
          <w:bCs/>
        </w:rPr>
        <w:t>Provision for probable losses</w:t>
      </w:r>
    </w:p>
    <w:p w14:paraId="644442F2" w14:textId="77777777" w:rsidR="00185B65" w:rsidRPr="00495094" w:rsidRDefault="00185B65" w:rsidP="00185B65">
      <w:pPr>
        <w:tabs>
          <w:tab w:val="left" w:pos="1260"/>
        </w:tabs>
        <w:rPr>
          <w:rFonts w:ascii="Arial" w:hAnsi="Arial" w:cs="Arial"/>
          <w:sz w:val="22"/>
          <w:szCs w:val="22"/>
        </w:rPr>
      </w:pPr>
    </w:p>
    <w:tbl>
      <w:tblPr>
        <w:tblW w:w="8550" w:type="dxa"/>
        <w:tblInd w:w="108" w:type="dxa"/>
        <w:tblLayout w:type="fixed"/>
        <w:tblLook w:val="04A0" w:firstRow="1" w:lastRow="0" w:firstColumn="1" w:lastColumn="0" w:noHBand="0" w:noVBand="1"/>
      </w:tblPr>
      <w:tblGrid>
        <w:gridCol w:w="5310"/>
        <w:gridCol w:w="1710"/>
        <w:gridCol w:w="1530"/>
      </w:tblGrid>
      <w:tr w:rsidR="00495094" w:rsidRPr="00495094" w14:paraId="4D3F95B0" w14:textId="77777777" w:rsidTr="00562CB5">
        <w:trPr>
          <w:trHeight w:val="20"/>
        </w:trPr>
        <w:tc>
          <w:tcPr>
            <w:tcW w:w="5310" w:type="dxa"/>
            <w:tcBorders>
              <w:top w:val="single" w:sz="4" w:space="0" w:color="auto"/>
              <w:left w:val="nil"/>
              <w:bottom w:val="single" w:sz="4" w:space="0" w:color="auto"/>
              <w:right w:val="nil"/>
            </w:tcBorders>
            <w:shd w:val="clear" w:color="auto" w:fill="auto"/>
            <w:vAlign w:val="center"/>
            <w:hideMark/>
          </w:tcPr>
          <w:p w14:paraId="29C93438" w14:textId="77777777" w:rsidR="00185B65" w:rsidRPr="00495094" w:rsidRDefault="00185B65" w:rsidP="00FE50D1">
            <w:pPr>
              <w:rPr>
                <w:rFonts w:ascii="Arial" w:hAnsi="Arial" w:cs="Arial"/>
                <w:sz w:val="22"/>
                <w:szCs w:val="22"/>
                <w:lang w:val="en-PH" w:eastAsia="en-PH"/>
              </w:rPr>
            </w:pPr>
            <w:r w:rsidRPr="00495094">
              <w:rPr>
                <w:rFonts w:ascii="Arial" w:hAnsi="Arial" w:cs="Arial"/>
                <w:sz w:val="22"/>
                <w:szCs w:val="22"/>
                <w:lang w:val="en-PH" w:eastAsia="en-PH"/>
              </w:rPr>
              <w:t> </w:t>
            </w:r>
          </w:p>
        </w:tc>
        <w:tc>
          <w:tcPr>
            <w:tcW w:w="1710" w:type="dxa"/>
            <w:tcBorders>
              <w:top w:val="single" w:sz="4" w:space="0" w:color="auto"/>
              <w:left w:val="nil"/>
              <w:bottom w:val="single" w:sz="4" w:space="0" w:color="auto"/>
              <w:right w:val="nil"/>
            </w:tcBorders>
            <w:shd w:val="clear" w:color="auto" w:fill="auto"/>
            <w:vAlign w:val="center"/>
            <w:hideMark/>
          </w:tcPr>
          <w:p w14:paraId="26E50BA2" w14:textId="140D96BB" w:rsidR="00185B65" w:rsidRPr="00495094" w:rsidRDefault="00185B65" w:rsidP="00C41469">
            <w:pPr>
              <w:jc w:val="center"/>
              <w:rPr>
                <w:rFonts w:ascii="Arial" w:hAnsi="Arial" w:cs="Arial"/>
                <w:b/>
                <w:bCs/>
                <w:sz w:val="22"/>
                <w:szCs w:val="22"/>
                <w:lang w:val="en-PH" w:eastAsia="en-PH"/>
              </w:rPr>
            </w:pPr>
            <w:r w:rsidRPr="00495094">
              <w:rPr>
                <w:rFonts w:ascii="Arial" w:hAnsi="Arial" w:cs="Arial"/>
                <w:b/>
                <w:bCs/>
                <w:sz w:val="22"/>
                <w:szCs w:val="22"/>
                <w:lang w:val="en-PH" w:eastAsia="en-PH"/>
              </w:rPr>
              <w:t>20</w:t>
            </w:r>
            <w:r w:rsidR="003E228D" w:rsidRPr="00495094">
              <w:rPr>
                <w:rFonts w:ascii="Arial" w:hAnsi="Arial" w:cs="Arial"/>
                <w:b/>
                <w:bCs/>
                <w:sz w:val="22"/>
                <w:szCs w:val="22"/>
                <w:lang w:val="en-PH" w:eastAsia="en-PH"/>
              </w:rPr>
              <w:t>2</w:t>
            </w:r>
            <w:r w:rsidR="00C41469" w:rsidRPr="00495094">
              <w:rPr>
                <w:rFonts w:ascii="Arial" w:hAnsi="Arial" w:cs="Arial"/>
                <w:b/>
                <w:bCs/>
                <w:sz w:val="22"/>
                <w:szCs w:val="22"/>
                <w:lang w:val="en-PH" w:eastAsia="en-PH"/>
              </w:rPr>
              <w:t>2</w:t>
            </w:r>
          </w:p>
        </w:tc>
        <w:tc>
          <w:tcPr>
            <w:tcW w:w="1530" w:type="dxa"/>
            <w:tcBorders>
              <w:top w:val="single" w:sz="4" w:space="0" w:color="auto"/>
              <w:left w:val="nil"/>
              <w:bottom w:val="single" w:sz="4" w:space="0" w:color="auto"/>
              <w:right w:val="nil"/>
            </w:tcBorders>
            <w:shd w:val="clear" w:color="auto" w:fill="auto"/>
            <w:vAlign w:val="center"/>
            <w:hideMark/>
          </w:tcPr>
          <w:p w14:paraId="3BFBFDAC" w14:textId="19C808E6" w:rsidR="00185B65" w:rsidRPr="00495094" w:rsidRDefault="00185B65" w:rsidP="00C41469">
            <w:pPr>
              <w:jc w:val="center"/>
              <w:rPr>
                <w:rFonts w:ascii="Arial" w:hAnsi="Arial" w:cs="Arial"/>
                <w:b/>
                <w:bCs/>
                <w:sz w:val="22"/>
                <w:szCs w:val="22"/>
                <w:lang w:val="en-PH" w:eastAsia="en-PH"/>
              </w:rPr>
            </w:pPr>
            <w:r w:rsidRPr="00495094">
              <w:rPr>
                <w:rFonts w:ascii="Arial" w:hAnsi="Arial" w:cs="Arial"/>
                <w:b/>
                <w:bCs/>
                <w:sz w:val="22"/>
                <w:szCs w:val="22"/>
                <w:lang w:val="en-PH" w:eastAsia="en-PH"/>
              </w:rPr>
              <w:t>2</w:t>
            </w:r>
            <w:r w:rsidR="00C031A2" w:rsidRPr="00495094">
              <w:rPr>
                <w:rFonts w:ascii="Arial" w:hAnsi="Arial" w:cs="Arial"/>
                <w:b/>
                <w:bCs/>
                <w:sz w:val="22"/>
                <w:szCs w:val="22"/>
                <w:lang w:val="en-PH" w:eastAsia="en-PH"/>
              </w:rPr>
              <w:t>0</w:t>
            </w:r>
            <w:r w:rsidR="003E228D" w:rsidRPr="00495094">
              <w:rPr>
                <w:rFonts w:ascii="Arial" w:hAnsi="Arial" w:cs="Arial"/>
                <w:b/>
                <w:bCs/>
                <w:sz w:val="22"/>
                <w:szCs w:val="22"/>
                <w:lang w:val="en-PH" w:eastAsia="en-PH"/>
              </w:rPr>
              <w:t>2</w:t>
            </w:r>
            <w:r w:rsidR="00C41469" w:rsidRPr="00495094">
              <w:rPr>
                <w:rFonts w:ascii="Arial" w:hAnsi="Arial" w:cs="Arial"/>
                <w:b/>
                <w:bCs/>
                <w:sz w:val="22"/>
                <w:szCs w:val="22"/>
                <w:lang w:val="en-PH" w:eastAsia="en-PH"/>
              </w:rPr>
              <w:t>1</w:t>
            </w:r>
          </w:p>
        </w:tc>
      </w:tr>
      <w:tr w:rsidR="00495094" w:rsidRPr="00495094" w14:paraId="3E7DD484" w14:textId="77777777" w:rsidTr="00562CB5">
        <w:trPr>
          <w:trHeight w:val="20"/>
        </w:trPr>
        <w:tc>
          <w:tcPr>
            <w:tcW w:w="5310" w:type="dxa"/>
            <w:tcBorders>
              <w:top w:val="nil"/>
              <w:left w:val="nil"/>
              <w:bottom w:val="nil"/>
              <w:right w:val="nil"/>
            </w:tcBorders>
            <w:shd w:val="clear" w:color="auto" w:fill="auto"/>
            <w:noWrap/>
            <w:vAlign w:val="bottom"/>
          </w:tcPr>
          <w:p w14:paraId="2D7F62C9" w14:textId="6C8627E4" w:rsidR="00B83138" w:rsidRPr="00495094" w:rsidRDefault="00B83138" w:rsidP="00247BF5">
            <w:pPr>
              <w:jc w:val="left"/>
              <w:rPr>
                <w:rFonts w:ascii="Arial" w:hAnsi="Arial" w:cs="Arial"/>
                <w:sz w:val="22"/>
                <w:szCs w:val="22"/>
              </w:rPr>
            </w:pPr>
          </w:p>
        </w:tc>
        <w:tc>
          <w:tcPr>
            <w:tcW w:w="1710" w:type="dxa"/>
            <w:tcBorders>
              <w:top w:val="nil"/>
              <w:left w:val="nil"/>
              <w:bottom w:val="nil"/>
              <w:right w:val="nil"/>
            </w:tcBorders>
            <w:shd w:val="clear" w:color="auto" w:fill="auto"/>
            <w:noWrap/>
            <w:vAlign w:val="bottom"/>
          </w:tcPr>
          <w:p w14:paraId="0AFD72B8" w14:textId="0242E805" w:rsidR="00B83138" w:rsidRPr="00495094" w:rsidRDefault="00B83138" w:rsidP="00247BF5">
            <w:pPr>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14:paraId="3826AB13" w14:textId="127E8002" w:rsidR="00B83138" w:rsidRPr="00495094" w:rsidRDefault="00B83138" w:rsidP="00B83138">
            <w:pPr>
              <w:jc w:val="right"/>
              <w:rPr>
                <w:rFonts w:ascii="Arial" w:hAnsi="Arial" w:cs="Arial"/>
                <w:sz w:val="22"/>
                <w:szCs w:val="22"/>
              </w:rPr>
            </w:pPr>
          </w:p>
        </w:tc>
      </w:tr>
      <w:tr w:rsidR="00495094" w:rsidRPr="00495094" w14:paraId="3B707C36" w14:textId="77777777" w:rsidTr="00562CB5">
        <w:trPr>
          <w:trHeight w:val="20"/>
        </w:trPr>
        <w:tc>
          <w:tcPr>
            <w:tcW w:w="5310" w:type="dxa"/>
            <w:tcBorders>
              <w:top w:val="nil"/>
              <w:left w:val="nil"/>
              <w:bottom w:val="nil"/>
              <w:right w:val="nil"/>
            </w:tcBorders>
            <w:shd w:val="clear" w:color="auto" w:fill="auto"/>
            <w:noWrap/>
            <w:vAlign w:val="bottom"/>
          </w:tcPr>
          <w:p w14:paraId="20A0E414" w14:textId="77777777" w:rsidR="00B83138" w:rsidRPr="00495094" w:rsidRDefault="00B83138" w:rsidP="00B83138">
            <w:pPr>
              <w:jc w:val="left"/>
              <w:rPr>
                <w:rFonts w:ascii="Arial" w:hAnsi="Arial" w:cs="Arial"/>
                <w:sz w:val="22"/>
                <w:szCs w:val="22"/>
              </w:rPr>
            </w:pPr>
            <w:r w:rsidRPr="00495094">
              <w:rPr>
                <w:rFonts w:ascii="Arial" w:hAnsi="Arial" w:cs="Arial"/>
                <w:sz w:val="22"/>
                <w:szCs w:val="22"/>
              </w:rPr>
              <w:t>Other Assets</w:t>
            </w:r>
          </w:p>
        </w:tc>
        <w:tc>
          <w:tcPr>
            <w:tcW w:w="1710" w:type="dxa"/>
            <w:tcBorders>
              <w:top w:val="nil"/>
              <w:left w:val="nil"/>
              <w:bottom w:val="nil"/>
              <w:right w:val="nil"/>
            </w:tcBorders>
            <w:shd w:val="clear" w:color="auto" w:fill="auto"/>
            <w:noWrap/>
            <w:vAlign w:val="bottom"/>
          </w:tcPr>
          <w:p w14:paraId="575AA4C9" w14:textId="2B54EA92" w:rsidR="00B83138" w:rsidRPr="00495094" w:rsidRDefault="00247BF5" w:rsidP="00B95739">
            <w:pPr>
              <w:jc w:val="right"/>
              <w:rPr>
                <w:rFonts w:ascii="Arial" w:hAnsi="Arial" w:cs="Arial"/>
                <w:sz w:val="22"/>
                <w:szCs w:val="22"/>
              </w:rPr>
            </w:pPr>
            <w:r w:rsidRPr="00495094">
              <w:rPr>
                <w:rFonts w:ascii="Arial" w:hAnsi="Arial" w:cs="Arial"/>
                <w:sz w:val="22"/>
                <w:szCs w:val="22"/>
              </w:rPr>
              <w:t>3</w:t>
            </w:r>
            <w:r w:rsidR="00B95739" w:rsidRPr="00495094">
              <w:rPr>
                <w:rFonts w:ascii="Arial" w:hAnsi="Arial" w:cs="Arial"/>
                <w:sz w:val="22"/>
                <w:szCs w:val="22"/>
              </w:rPr>
              <w:t>8</w:t>
            </w:r>
            <w:r w:rsidRPr="00495094">
              <w:rPr>
                <w:rFonts w:ascii="Arial" w:hAnsi="Arial" w:cs="Arial"/>
                <w:sz w:val="22"/>
                <w:szCs w:val="22"/>
              </w:rPr>
              <w:t>,</w:t>
            </w:r>
            <w:r w:rsidR="00B95739" w:rsidRPr="00495094">
              <w:rPr>
                <w:rFonts w:ascii="Arial" w:hAnsi="Arial" w:cs="Arial"/>
                <w:sz w:val="22"/>
                <w:szCs w:val="22"/>
              </w:rPr>
              <w:t>105</w:t>
            </w:r>
            <w:r w:rsidRPr="00495094">
              <w:rPr>
                <w:rFonts w:ascii="Arial" w:hAnsi="Arial" w:cs="Arial"/>
                <w:sz w:val="22"/>
                <w:szCs w:val="22"/>
              </w:rPr>
              <w:t>,</w:t>
            </w:r>
            <w:r w:rsidR="00B95739" w:rsidRPr="00495094">
              <w:rPr>
                <w:rFonts w:ascii="Arial" w:hAnsi="Arial" w:cs="Arial"/>
                <w:sz w:val="22"/>
                <w:szCs w:val="22"/>
              </w:rPr>
              <w:t>328</w:t>
            </w:r>
          </w:p>
        </w:tc>
        <w:tc>
          <w:tcPr>
            <w:tcW w:w="1530" w:type="dxa"/>
            <w:tcBorders>
              <w:top w:val="nil"/>
              <w:left w:val="nil"/>
              <w:bottom w:val="nil"/>
              <w:right w:val="nil"/>
            </w:tcBorders>
            <w:shd w:val="clear" w:color="auto" w:fill="auto"/>
            <w:noWrap/>
            <w:vAlign w:val="bottom"/>
          </w:tcPr>
          <w:p w14:paraId="4B70A4D6" w14:textId="5B275235" w:rsidR="00B83138" w:rsidRPr="00495094" w:rsidRDefault="008151FB" w:rsidP="00B83138">
            <w:pPr>
              <w:jc w:val="right"/>
              <w:rPr>
                <w:rFonts w:ascii="Arial" w:hAnsi="Arial" w:cs="Arial"/>
                <w:sz w:val="22"/>
                <w:szCs w:val="22"/>
              </w:rPr>
            </w:pPr>
            <w:r w:rsidRPr="00495094">
              <w:rPr>
                <w:rFonts w:ascii="Arial" w:hAnsi="Arial" w:cs="Arial"/>
                <w:sz w:val="22"/>
                <w:szCs w:val="22"/>
              </w:rPr>
              <w:t xml:space="preserve"> </w:t>
            </w:r>
            <w:r w:rsidR="00C41469" w:rsidRPr="00495094">
              <w:rPr>
                <w:rFonts w:ascii="Arial" w:hAnsi="Arial" w:cs="Arial"/>
                <w:sz w:val="22"/>
                <w:szCs w:val="22"/>
              </w:rPr>
              <w:t>49,162,016</w:t>
            </w:r>
          </w:p>
        </w:tc>
      </w:tr>
      <w:tr w:rsidR="00495094" w:rsidRPr="00495094" w14:paraId="4DC85E86" w14:textId="77777777" w:rsidTr="00562CB5">
        <w:trPr>
          <w:trHeight w:val="20"/>
        </w:trPr>
        <w:tc>
          <w:tcPr>
            <w:tcW w:w="5310" w:type="dxa"/>
            <w:tcBorders>
              <w:top w:val="single" w:sz="4" w:space="0" w:color="auto"/>
              <w:left w:val="nil"/>
              <w:bottom w:val="double" w:sz="6" w:space="0" w:color="auto"/>
              <w:right w:val="nil"/>
            </w:tcBorders>
            <w:shd w:val="clear" w:color="auto" w:fill="auto"/>
            <w:noWrap/>
            <w:vAlign w:val="bottom"/>
            <w:hideMark/>
          </w:tcPr>
          <w:p w14:paraId="547FBB4E" w14:textId="77777777" w:rsidR="00B83138" w:rsidRPr="00495094" w:rsidRDefault="00B83138" w:rsidP="00B83138">
            <w:pPr>
              <w:jc w:val="left"/>
              <w:rPr>
                <w:rFonts w:ascii="Arial" w:hAnsi="Arial" w:cs="Arial"/>
                <w:bCs/>
                <w:sz w:val="22"/>
                <w:szCs w:val="22"/>
              </w:rPr>
            </w:pPr>
            <w:r w:rsidRPr="00495094">
              <w:rPr>
                <w:rFonts w:ascii="Arial" w:hAnsi="Arial" w:cs="Arial"/>
                <w:bCs/>
                <w:sz w:val="22"/>
                <w:szCs w:val="22"/>
              </w:rPr>
              <w:t> </w:t>
            </w:r>
          </w:p>
        </w:tc>
        <w:tc>
          <w:tcPr>
            <w:tcW w:w="1710" w:type="dxa"/>
            <w:tcBorders>
              <w:top w:val="single" w:sz="4" w:space="0" w:color="auto"/>
              <w:left w:val="nil"/>
              <w:bottom w:val="double" w:sz="6" w:space="0" w:color="auto"/>
              <w:right w:val="nil"/>
            </w:tcBorders>
            <w:shd w:val="clear" w:color="auto" w:fill="auto"/>
            <w:noWrap/>
            <w:vAlign w:val="bottom"/>
          </w:tcPr>
          <w:p w14:paraId="434186AA" w14:textId="79D753A1" w:rsidR="00B83138" w:rsidRPr="00495094" w:rsidRDefault="00FA06CD" w:rsidP="00B95739">
            <w:pPr>
              <w:jc w:val="right"/>
              <w:rPr>
                <w:rFonts w:ascii="Arial" w:hAnsi="Arial" w:cs="Arial"/>
                <w:bCs/>
                <w:sz w:val="22"/>
                <w:szCs w:val="22"/>
              </w:rPr>
            </w:pPr>
            <w:r w:rsidRPr="00495094">
              <w:rPr>
                <w:rFonts w:ascii="Arial" w:hAnsi="Arial" w:cs="Arial"/>
                <w:bCs/>
                <w:sz w:val="22"/>
                <w:szCs w:val="22"/>
              </w:rPr>
              <w:t>3</w:t>
            </w:r>
            <w:r w:rsidR="00B95739" w:rsidRPr="00495094">
              <w:rPr>
                <w:rFonts w:ascii="Arial" w:hAnsi="Arial" w:cs="Arial"/>
                <w:bCs/>
                <w:sz w:val="22"/>
                <w:szCs w:val="22"/>
              </w:rPr>
              <w:t>8</w:t>
            </w:r>
            <w:r w:rsidR="00FF21CB" w:rsidRPr="00495094">
              <w:rPr>
                <w:rFonts w:ascii="Arial" w:hAnsi="Arial" w:cs="Arial"/>
                <w:bCs/>
                <w:sz w:val="22"/>
                <w:szCs w:val="22"/>
              </w:rPr>
              <w:t>,</w:t>
            </w:r>
            <w:r w:rsidR="00B95739" w:rsidRPr="00495094">
              <w:rPr>
                <w:rFonts w:ascii="Arial" w:hAnsi="Arial" w:cs="Arial"/>
                <w:bCs/>
                <w:sz w:val="22"/>
                <w:szCs w:val="22"/>
              </w:rPr>
              <w:t>105</w:t>
            </w:r>
            <w:r w:rsidR="00FF21CB" w:rsidRPr="00495094">
              <w:rPr>
                <w:rFonts w:ascii="Arial" w:hAnsi="Arial" w:cs="Arial"/>
                <w:bCs/>
                <w:sz w:val="22"/>
                <w:szCs w:val="22"/>
              </w:rPr>
              <w:t>,</w:t>
            </w:r>
            <w:r w:rsidR="00B95739" w:rsidRPr="00495094">
              <w:rPr>
                <w:rFonts w:ascii="Arial" w:hAnsi="Arial" w:cs="Arial"/>
                <w:bCs/>
                <w:sz w:val="22"/>
                <w:szCs w:val="22"/>
              </w:rPr>
              <w:t>328</w:t>
            </w:r>
          </w:p>
        </w:tc>
        <w:tc>
          <w:tcPr>
            <w:tcW w:w="1530" w:type="dxa"/>
            <w:tcBorders>
              <w:top w:val="single" w:sz="4" w:space="0" w:color="auto"/>
              <w:left w:val="nil"/>
              <w:bottom w:val="double" w:sz="6" w:space="0" w:color="auto"/>
              <w:right w:val="nil"/>
            </w:tcBorders>
            <w:shd w:val="clear" w:color="auto" w:fill="auto"/>
            <w:noWrap/>
            <w:vAlign w:val="bottom"/>
            <w:hideMark/>
          </w:tcPr>
          <w:p w14:paraId="43D7EDBE" w14:textId="1CD7C25C" w:rsidR="00B83138" w:rsidRPr="00495094" w:rsidRDefault="00C41469" w:rsidP="00B83138">
            <w:pPr>
              <w:jc w:val="right"/>
              <w:rPr>
                <w:rFonts w:ascii="Arial" w:hAnsi="Arial" w:cs="Arial"/>
                <w:bCs/>
                <w:sz w:val="22"/>
                <w:szCs w:val="22"/>
              </w:rPr>
            </w:pPr>
            <w:r w:rsidRPr="00495094">
              <w:rPr>
                <w:rFonts w:ascii="Arial" w:hAnsi="Arial" w:cs="Arial"/>
                <w:bCs/>
                <w:sz w:val="22"/>
                <w:szCs w:val="22"/>
              </w:rPr>
              <w:t>49,162,016</w:t>
            </w:r>
          </w:p>
        </w:tc>
      </w:tr>
    </w:tbl>
    <w:p w14:paraId="1ADF25FB" w14:textId="77777777" w:rsidR="00185B65" w:rsidRPr="00495094" w:rsidRDefault="00185B65" w:rsidP="00185B65">
      <w:pPr>
        <w:rPr>
          <w:rFonts w:ascii="Arial" w:hAnsi="Arial" w:cs="Arial"/>
          <w:b/>
          <w:bCs/>
          <w:sz w:val="22"/>
          <w:szCs w:val="22"/>
        </w:rPr>
      </w:pPr>
    </w:p>
    <w:p w14:paraId="7DC0C5DA" w14:textId="77777777" w:rsidR="00185B65" w:rsidRPr="00495094" w:rsidRDefault="00185B65" w:rsidP="007F4EEC">
      <w:pPr>
        <w:pStyle w:val="ListParagraph"/>
        <w:numPr>
          <w:ilvl w:val="0"/>
          <w:numId w:val="4"/>
        </w:numPr>
        <w:ind w:left="720" w:hanging="720"/>
        <w:rPr>
          <w:b/>
          <w:bCs/>
        </w:rPr>
      </w:pPr>
      <w:r w:rsidRPr="00495094">
        <w:rPr>
          <w:b/>
          <w:bCs/>
        </w:rPr>
        <w:t>Depreciation and amortization</w:t>
      </w:r>
    </w:p>
    <w:p w14:paraId="67733AD2" w14:textId="77777777" w:rsidR="00185B65" w:rsidRPr="00495094" w:rsidRDefault="00185B65" w:rsidP="00185B65">
      <w:pPr>
        <w:rPr>
          <w:rFonts w:ascii="Arial" w:hAnsi="Arial" w:cs="Arial"/>
          <w:b/>
          <w:bCs/>
          <w:sz w:val="22"/>
          <w:szCs w:val="22"/>
        </w:rPr>
      </w:pPr>
    </w:p>
    <w:tbl>
      <w:tblPr>
        <w:tblW w:w="8550" w:type="dxa"/>
        <w:tblInd w:w="108" w:type="dxa"/>
        <w:tblLook w:val="04A0" w:firstRow="1" w:lastRow="0" w:firstColumn="1" w:lastColumn="0" w:noHBand="0" w:noVBand="1"/>
      </w:tblPr>
      <w:tblGrid>
        <w:gridCol w:w="5310"/>
        <w:gridCol w:w="1710"/>
        <w:gridCol w:w="1530"/>
      </w:tblGrid>
      <w:tr w:rsidR="00495094" w:rsidRPr="00495094" w14:paraId="3DDC9DA1" w14:textId="77777777" w:rsidTr="004738AB">
        <w:trPr>
          <w:trHeight w:val="20"/>
        </w:trPr>
        <w:tc>
          <w:tcPr>
            <w:tcW w:w="5310" w:type="dxa"/>
            <w:tcBorders>
              <w:top w:val="single" w:sz="4" w:space="0" w:color="auto"/>
              <w:left w:val="nil"/>
              <w:bottom w:val="single" w:sz="4" w:space="0" w:color="auto"/>
              <w:right w:val="nil"/>
            </w:tcBorders>
            <w:shd w:val="clear" w:color="auto" w:fill="auto"/>
            <w:vAlign w:val="center"/>
            <w:hideMark/>
          </w:tcPr>
          <w:p w14:paraId="4AA48998" w14:textId="77777777" w:rsidR="00185B65" w:rsidRPr="00495094" w:rsidRDefault="00185B65" w:rsidP="00FE50D1">
            <w:pPr>
              <w:rPr>
                <w:rFonts w:ascii="Arial" w:hAnsi="Arial" w:cs="Arial"/>
                <w:sz w:val="22"/>
                <w:szCs w:val="22"/>
                <w:lang w:val="en-PH" w:eastAsia="en-PH"/>
              </w:rPr>
            </w:pPr>
            <w:r w:rsidRPr="00495094">
              <w:rPr>
                <w:rFonts w:ascii="Arial" w:hAnsi="Arial" w:cs="Arial"/>
                <w:sz w:val="22"/>
                <w:szCs w:val="22"/>
                <w:lang w:val="en-PH" w:eastAsia="en-PH"/>
              </w:rPr>
              <w:t> </w:t>
            </w:r>
          </w:p>
        </w:tc>
        <w:tc>
          <w:tcPr>
            <w:tcW w:w="1710" w:type="dxa"/>
            <w:tcBorders>
              <w:top w:val="single" w:sz="4" w:space="0" w:color="auto"/>
              <w:left w:val="nil"/>
              <w:bottom w:val="single" w:sz="4" w:space="0" w:color="auto"/>
              <w:right w:val="nil"/>
            </w:tcBorders>
            <w:shd w:val="clear" w:color="auto" w:fill="auto"/>
            <w:hideMark/>
          </w:tcPr>
          <w:p w14:paraId="253F5700" w14:textId="2354EAD7" w:rsidR="00185B65" w:rsidRPr="00495094" w:rsidRDefault="00185B65" w:rsidP="003C5E3D">
            <w:pPr>
              <w:jc w:val="center"/>
              <w:rPr>
                <w:rFonts w:ascii="Arial" w:hAnsi="Arial" w:cs="Arial"/>
                <w:b/>
                <w:bCs/>
                <w:sz w:val="22"/>
                <w:szCs w:val="22"/>
                <w:lang w:val="en-PH" w:eastAsia="en-PH"/>
              </w:rPr>
            </w:pPr>
            <w:r w:rsidRPr="00495094">
              <w:rPr>
                <w:rFonts w:ascii="Arial" w:hAnsi="Arial" w:cs="Arial"/>
                <w:b/>
                <w:bCs/>
                <w:sz w:val="22"/>
                <w:szCs w:val="22"/>
                <w:lang w:val="en-PH" w:eastAsia="en-PH"/>
              </w:rPr>
              <w:t>20</w:t>
            </w:r>
            <w:r w:rsidR="004373A7" w:rsidRPr="00495094">
              <w:rPr>
                <w:rFonts w:ascii="Arial" w:hAnsi="Arial" w:cs="Arial"/>
                <w:b/>
                <w:bCs/>
                <w:sz w:val="22"/>
                <w:szCs w:val="22"/>
                <w:lang w:val="en-PH" w:eastAsia="en-PH"/>
              </w:rPr>
              <w:t>22</w:t>
            </w:r>
          </w:p>
        </w:tc>
        <w:tc>
          <w:tcPr>
            <w:tcW w:w="1530" w:type="dxa"/>
            <w:tcBorders>
              <w:top w:val="single" w:sz="4" w:space="0" w:color="auto"/>
              <w:left w:val="nil"/>
              <w:bottom w:val="single" w:sz="4" w:space="0" w:color="auto"/>
              <w:right w:val="nil"/>
            </w:tcBorders>
            <w:shd w:val="clear" w:color="auto" w:fill="auto"/>
            <w:vAlign w:val="center"/>
            <w:hideMark/>
          </w:tcPr>
          <w:p w14:paraId="09F9591F" w14:textId="04E802B8" w:rsidR="00E2166F" w:rsidRPr="00495094" w:rsidRDefault="00185B65" w:rsidP="004373A7">
            <w:pPr>
              <w:jc w:val="center"/>
              <w:rPr>
                <w:rFonts w:ascii="Arial" w:hAnsi="Arial" w:cs="Arial"/>
                <w:b/>
                <w:bCs/>
                <w:sz w:val="22"/>
                <w:szCs w:val="22"/>
                <w:lang w:val="en-PH" w:eastAsia="en-PH"/>
              </w:rPr>
            </w:pPr>
            <w:r w:rsidRPr="00495094">
              <w:rPr>
                <w:rFonts w:ascii="Arial" w:hAnsi="Arial" w:cs="Arial"/>
                <w:b/>
                <w:bCs/>
                <w:sz w:val="22"/>
                <w:szCs w:val="22"/>
                <w:lang w:val="en-PH" w:eastAsia="en-PH"/>
              </w:rPr>
              <w:t>20</w:t>
            </w:r>
            <w:r w:rsidR="00B83138" w:rsidRPr="00495094">
              <w:rPr>
                <w:rFonts w:ascii="Arial" w:hAnsi="Arial" w:cs="Arial"/>
                <w:b/>
                <w:bCs/>
                <w:sz w:val="22"/>
                <w:szCs w:val="22"/>
                <w:lang w:val="en-PH" w:eastAsia="en-PH"/>
              </w:rPr>
              <w:t>2</w:t>
            </w:r>
            <w:r w:rsidR="004373A7" w:rsidRPr="00495094">
              <w:rPr>
                <w:rFonts w:ascii="Arial" w:hAnsi="Arial" w:cs="Arial"/>
                <w:b/>
                <w:bCs/>
                <w:sz w:val="22"/>
                <w:szCs w:val="22"/>
                <w:lang w:val="en-PH" w:eastAsia="en-PH"/>
              </w:rPr>
              <w:t>1</w:t>
            </w:r>
          </w:p>
        </w:tc>
      </w:tr>
      <w:tr w:rsidR="00495094" w:rsidRPr="00495094" w14:paraId="7A34399B" w14:textId="77777777" w:rsidTr="004738AB">
        <w:trPr>
          <w:trHeight w:val="20"/>
        </w:trPr>
        <w:tc>
          <w:tcPr>
            <w:tcW w:w="5310" w:type="dxa"/>
            <w:tcBorders>
              <w:top w:val="nil"/>
              <w:left w:val="nil"/>
              <w:bottom w:val="nil"/>
              <w:right w:val="nil"/>
            </w:tcBorders>
            <w:shd w:val="clear" w:color="auto" w:fill="auto"/>
            <w:noWrap/>
            <w:vAlign w:val="bottom"/>
          </w:tcPr>
          <w:p w14:paraId="71787F50" w14:textId="3132BB9C" w:rsidR="00B83138" w:rsidRPr="00495094" w:rsidRDefault="00B83138" w:rsidP="00B83138">
            <w:pPr>
              <w:jc w:val="left"/>
              <w:rPr>
                <w:rFonts w:ascii="Arial" w:hAnsi="Arial" w:cs="Arial"/>
                <w:sz w:val="22"/>
                <w:szCs w:val="22"/>
              </w:rPr>
            </w:pPr>
            <w:r w:rsidRPr="00495094">
              <w:rPr>
                <w:rFonts w:ascii="Arial" w:hAnsi="Arial" w:cs="Arial"/>
                <w:sz w:val="22"/>
                <w:szCs w:val="22"/>
              </w:rPr>
              <w:t>Bank Premises, Furniture, Fixtures and Equipment</w:t>
            </w:r>
          </w:p>
        </w:tc>
        <w:tc>
          <w:tcPr>
            <w:tcW w:w="1710" w:type="dxa"/>
            <w:tcBorders>
              <w:top w:val="nil"/>
              <w:left w:val="nil"/>
              <w:bottom w:val="nil"/>
              <w:right w:val="nil"/>
            </w:tcBorders>
            <w:shd w:val="clear" w:color="auto" w:fill="auto"/>
            <w:noWrap/>
            <w:vAlign w:val="bottom"/>
          </w:tcPr>
          <w:p w14:paraId="36B9261C" w14:textId="19527E42" w:rsidR="00B83138" w:rsidRPr="00495094" w:rsidRDefault="00EC469A" w:rsidP="00247BF5">
            <w:pPr>
              <w:jc w:val="right"/>
              <w:rPr>
                <w:rFonts w:ascii="Arial" w:hAnsi="Arial" w:cs="Arial"/>
                <w:sz w:val="22"/>
                <w:szCs w:val="22"/>
              </w:rPr>
            </w:pPr>
            <w:r w:rsidRPr="00495094">
              <w:rPr>
                <w:rFonts w:ascii="Arial" w:hAnsi="Arial" w:cs="Arial"/>
                <w:sz w:val="22"/>
                <w:szCs w:val="22"/>
              </w:rPr>
              <w:t>3,</w:t>
            </w:r>
            <w:r w:rsidR="00247BF5" w:rsidRPr="00495094">
              <w:rPr>
                <w:rFonts w:ascii="Arial" w:hAnsi="Arial" w:cs="Arial"/>
                <w:sz w:val="22"/>
                <w:szCs w:val="22"/>
              </w:rPr>
              <w:t>259</w:t>
            </w:r>
            <w:r w:rsidR="004373A7" w:rsidRPr="00495094">
              <w:rPr>
                <w:rFonts w:ascii="Arial" w:hAnsi="Arial" w:cs="Arial"/>
                <w:sz w:val="22"/>
                <w:szCs w:val="22"/>
              </w:rPr>
              <w:t>,</w:t>
            </w:r>
            <w:r w:rsidR="00247BF5" w:rsidRPr="00495094">
              <w:rPr>
                <w:rFonts w:ascii="Arial" w:hAnsi="Arial" w:cs="Arial"/>
                <w:sz w:val="22"/>
                <w:szCs w:val="22"/>
              </w:rPr>
              <w:t>20</w:t>
            </w:r>
            <w:r w:rsidR="004373A7" w:rsidRPr="00495094">
              <w:rPr>
                <w:rFonts w:ascii="Arial" w:hAnsi="Arial" w:cs="Arial"/>
                <w:sz w:val="22"/>
                <w:szCs w:val="22"/>
              </w:rPr>
              <w:t>5</w:t>
            </w:r>
          </w:p>
        </w:tc>
        <w:tc>
          <w:tcPr>
            <w:tcW w:w="1530" w:type="dxa"/>
            <w:tcBorders>
              <w:top w:val="nil"/>
              <w:left w:val="nil"/>
              <w:bottom w:val="nil"/>
              <w:right w:val="nil"/>
            </w:tcBorders>
            <w:shd w:val="clear" w:color="auto" w:fill="auto"/>
            <w:noWrap/>
            <w:vAlign w:val="bottom"/>
          </w:tcPr>
          <w:p w14:paraId="77F7D85C" w14:textId="5F3BCF74" w:rsidR="00B83138" w:rsidRPr="00495094" w:rsidRDefault="004373A7">
            <w:pPr>
              <w:jc w:val="right"/>
              <w:rPr>
                <w:rFonts w:ascii="Arial" w:hAnsi="Arial" w:cs="Arial"/>
                <w:sz w:val="22"/>
                <w:szCs w:val="22"/>
              </w:rPr>
            </w:pPr>
            <w:r w:rsidRPr="00495094">
              <w:rPr>
                <w:rFonts w:ascii="Arial" w:hAnsi="Arial" w:cs="Arial"/>
                <w:sz w:val="22"/>
                <w:szCs w:val="22"/>
              </w:rPr>
              <w:t>3,</w:t>
            </w:r>
            <w:r w:rsidR="00034E6F" w:rsidRPr="00495094">
              <w:rPr>
                <w:rFonts w:ascii="Arial" w:hAnsi="Arial" w:cs="Arial"/>
                <w:sz w:val="22"/>
                <w:szCs w:val="22"/>
              </w:rPr>
              <w:t>691,478</w:t>
            </w:r>
          </w:p>
        </w:tc>
      </w:tr>
      <w:tr w:rsidR="00495094" w:rsidRPr="00495094" w14:paraId="001FD1AF" w14:textId="77777777" w:rsidTr="008956EF">
        <w:trPr>
          <w:trHeight w:val="135"/>
        </w:trPr>
        <w:tc>
          <w:tcPr>
            <w:tcW w:w="5310" w:type="dxa"/>
            <w:tcBorders>
              <w:top w:val="nil"/>
              <w:left w:val="nil"/>
              <w:bottom w:val="nil"/>
              <w:right w:val="nil"/>
            </w:tcBorders>
            <w:shd w:val="clear" w:color="auto" w:fill="auto"/>
            <w:noWrap/>
            <w:vAlign w:val="bottom"/>
            <w:hideMark/>
          </w:tcPr>
          <w:p w14:paraId="7C98541F" w14:textId="77777777" w:rsidR="00B83138" w:rsidRPr="00495094" w:rsidRDefault="00B83138" w:rsidP="00B83138">
            <w:pPr>
              <w:jc w:val="left"/>
              <w:rPr>
                <w:rFonts w:ascii="Arial" w:hAnsi="Arial" w:cs="Arial"/>
                <w:sz w:val="22"/>
                <w:szCs w:val="22"/>
              </w:rPr>
            </w:pPr>
            <w:r w:rsidRPr="00495094">
              <w:rPr>
                <w:rFonts w:ascii="Arial" w:hAnsi="Arial" w:cs="Arial"/>
                <w:sz w:val="22"/>
                <w:szCs w:val="22"/>
              </w:rPr>
              <w:t>Other Intangible Assets</w:t>
            </w:r>
          </w:p>
        </w:tc>
        <w:tc>
          <w:tcPr>
            <w:tcW w:w="1710" w:type="dxa"/>
            <w:tcBorders>
              <w:top w:val="nil"/>
              <w:left w:val="nil"/>
              <w:bottom w:val="nil"/>
              <w:right w:val="nil"/>
            </w:tcBorders>
            <w:shd w:val="clear" w:color="auto" w:fill="auto"/>
            <w:noWrap/>
            <w:vAlign w:val="center"/>
          </w:tcPr>
          <w:p w14:paraId="7AE0112F" w14:textId="4421FD9D" w:rsidR="00B83138" w:rsidRPr="00495094" w:rsidRDefault="004373A7" w:rsidP="00AF0ED0">
            <w:pPr>
              <w:jc w:val="right"/>
              <w:rPr>
                <w:rFonts w:ascii="Arial" w:hAnsi="Arial" w:cs="Arial"/>
                <w:sz w:val="22"/>
                <w:szCs w:val="22"/>
              </w:rPr>
            </w:pPr>
            <w:r w:rsidRPr="00495094">
              <w:rPr>
                <w:rFonts w:ascii="Arial" w:hAnsi="Arial" w:cs="Arial"/>
                <w:sz w:val="22"/>
                <w:szCs w:val="22"/>
              </w:rPr>
              <w:t>3,851,844</w:t>
            </w:r>
          </w:p>
        </w:tc>
        <w:tc>
          <w:tcPr>
            <w:tcW w:w="1530" w:type="dxa"/>
            <w:tcBorders>
              <w:top w:val="nil"/>
              <w:left w:val="nil"/>
              <w:bottom w:val="nil"/>
              <w:right w:val="nil"/>
            </w:tcBorders>
            <w:shd w:val="clear" w:color="auto" w:fill="auto"/>
            <w:noWrap/>
            <w:vAlign w:val="bottom"/>
            <w:hideMark/>
          </w:tcPr>
          <w:p w14:paraId="010035E2" w14:textId="14927414" w:rsidR="00B83138" w:rsidRPr="00495094" w:rsidRDefault="004373A7">
            <w:pPr>
              <w:jc w:val="right"/>
              <w:rPr>
                <w:rFonts w:ascii="Arial" w:hAnsi="Arial" w:cs="Arial"/>
                <w:sz w:val="22"/>
                <w:szCs w:val="22"/>
              </w:rPr>
            </w:pPr>
            <w:r w:rsidRPr="00495094">
              <w:rPr>
                <w:rFonts w:ascii="Arial" w:hAnsi="Arial" w:cs="Arial"/>
                <w:sz w:val="22"/>
                <w:szCs w:val="22"/>
              </w:rPr>
              <w:t>1,921,</w:t>
            </w:r>
            <w:r w:rsidR="00034E6F" w:rsidRPr="00495094">
              <w:rPr>
                <w:rFonts w:ascii="Arial" w:hAnsi="Arial" w:cs="Arial"/>
                <w:sz w:val="22"/>
                <w:szCs w:val="22"/>
              </w:rPr>
              <w:t>3</w:t>
            </w:r>
            <w:r w:rsidRPr="00495094">
              <w:rPr>
                <w:rFonts w:ascii="Arial" w:hAnsi="Arial" w:cs="Arial"/>
                <w:sz w:val="22"/>
                <w:szCs w:val="22"/>
              </w:rPr>
              <w:t>0</w:t>
            </w:r>
            <w:r w:rsidR="00034E6F" w:rsidRPr="00495094">
              <w:rPr>
                <w:rFonts w:ascii="Arial" w:hAnsi="Arial" w:cs="Arial"/>
                <w:sz w:val="22"/>
                <w:szCs w:val="22"/>
              </w:rPr>
              <w:t>7</w:t>
            </w:r>
          </w:p>
        </w:tc>
      </w:tr>
      <w:tr w:rsidR="00495094" w:rsidRPr="00495094" w14:paraId="51335E0A" w14:textId="77777777" w:rsidTr="004738AB">
        <w:trPr>
          <w:trHeight w:val="20"/>
        </w:trPr>
        <w:tc>
          <w:tcPr>
            <w:tcW w:w="5310" w:type="dxa"/>
            <w:tcBorders>
              <w:top w:val="single" w:sz="4" w:space="0" w:color="auto"/>
              <w:left w:val="nil"/>
              <w:bottom w:val="double" w:sz="6" w:space="0" w:color="auto"/>
              <w:right w:val="nil"/>
            </w:tcBorders>
            <w:shd w:val="clear" w:color="auto" w:fill="auto"/>
            <w:noWrap/>
            <w:vAlign w:val="bottom"/>
            <w:hideMark/>
          </w:tcPr>
          <w:p w14:paraId="5FBBCAFD" w14:textId="77777777" w:rsidR="00B83138" w:rsidRPr="00495094" w:rsidRDefault="00B83138" w:rsidP="00B83138">
            <w:pPr>
              <w:jc w:val="left"/>
              <w:rPr>
                <w:rFonts w:ascii="Arial" w:hAnsi="Arial" w:cs="Arial"/>
                <w:bCs/>
                <w:sz w:val="22"/>
                <w:szCs w:val="22"/>
              </w:rPr>
            </w:pPr>
            <w:r w:rsidRPr="00495094">
              <w:rPr>
                <w:rFonts w:ascii="Arial" w:hAnsi="Arial" w:cs="Arial"/>
                <w:bCs/>
                <w:sz w:val="22"/>
                <w:szCs w:val="22"/>
              </w:rPr>
              <w:t> </w:t>
            </w:r>
          </w:p>
        </w:tc>
        <w:tc>
          <w:tcPr>
            <w:tcW w:w="1710" w:type="dxa"/>
            <w:tcBorders>
              <w:top w:val="single" w:sz="4" w:space="0" w:color="auto"/>
              <w:left w:val="nil"/>
              <w:bottom w:val="double" w:sz="6" w:space="0" w:color="auto"/>
              <w:right w:val="nil"/>
            </w:tcBorders>
            <w:shd w:val="clear" w:color="auto" w:fill="auto"/>
            <w:noWrap/>
            <w:vAlign w:val="bottom"/>
          </w:tcPr>
          <w:p w14:paraId="42673BE3" w14:textId="02F4EEB5" w:rsidR="00B83138" w:rsidRPr="00495094" w:rsidRDefault="00247BF5" w:rsidP="00247BF5">
            <w:pPr>
              <w:jc w:val="right"/>
              <w:rPr>
                <w:rFonts w:ascii="Arial" w:hAnsi="Arial" w:cs="Arial"/>
                <w:bCs/>
                <w:sz w:val="22"/>
                <w:szCs w:val="22"/>
              </w:rPr>
            </w:pPr>
            <w:r w:rsidRPr="00495094">
              <w:rPr>
                <w:rFonts w:ascii="Arial" w:hAnsi="Arial" w:cs="Arial"/>
                <w:bCs/>
                <w:sz w:val="22"/>
                <w:szCs w:val="22"/>
              </w:rPr>
              <w:t>7</w:t>
            </w:r>
            <w:r w:rsidR="004373A7" w:rsidRPr="00495094">
              <w:rPr>
                <w:rFonts w:ascii="Arial" w:hAnsi="Arial" w:cs="Arial"/>
                <w:bCs/>
                <w:sz w:val="22"/>
                <w:szCs w:val="22"/>
              </w:rPr>
              <w:t>,</w:t>
            </w:r>
            <w:r w:rsidRPr="00495094">
              <w:rPr>
                <w:rFonts w:ascii="Arial" w:hAnsi="Arial" w:cs="Arial"/>
                <w:bCs/>
                <w:sz w:val="22"/>
                <w:szCs w:val="22"/>
              </w:rPr>
              <w:t>111</w:t>
            </w:r>
            <w:r w:rsidR="004373A7" w:rsidRPr="00495094">
              <w:rPr>
                <w:rFonts w:ascii="Arial" w:hAnsi="Arial" w:cs="Arial"/>
                <w:bCs/>
                <w:sz w:val="22"/>
                <w:szCs w:val="22"/>
              </w:rPr>
              <w:t>,</w:t>
            </w:r>
            <w:r w:rsidRPr="00495094">
              <w:rPr>
                <w:rFonts w:ascii="Arial" w:hAnsi="Arial" w:cs="Arial"/>
                <w:bCs/>
                <w:sz w:val="22"/>
                <w:szCs w:val="22"/>
              </w:rPr>
              <w:t>04</w:t>
            </w:r>
            <w:r w:rsidR="004373A7" w:rsidRPr="00495094">
              <w:rPr>
                <w:rFonts w:ascii="Arial" w:hAnsi="Arial" w:cs="Arial"/>
                <w:bCs/>
                <w:sz w:val="22"/>
                <w:szCs w:val="22"/>
              </w:rPr>
              <w:t>9</w:t>
            </w:r>
          </w:p>
        </w:tc>
        <w:tc>
          <w:tcPr>
            <w:tcW w:w="1530" w:type="dxa"/>
            <w:tcBorders>
              <w:top w:val="single" w:sz="4" w:space="0" w:color="auto"/>
              <w:left w:val="nil"/>
              <w:bottom w:val="double" w:sz="6" w:space="0" w:color="auto"/>
              <w:right w:val="nil"/>
            </w:tcBorders>
            <w:shd w:val="clear" w:color="auto" w:fill="auto"/>
            <w:noWrap/>
            <w:vAlign w:val="bottom"/>
            <w:hideMark/>
          </w:tcPr>
          <w:p w14:paraId="0D715E17" w14:textId="517BDC0F" w:rsidR="00B83138" w:rsidRPr="00495094" w:rsidRDefault="004373A7">
            <w:pPr>
              <w:jc w:val="right"/>
              <w:rPr>
                <w:rFonts w:ascii="Arial" w:hAnsi="Arial" w:cs="Arial"/>
                <w:bCs/>
                <w:sz w:val="22"/>
                <w:szCs w:val="22"/>
              </w:rPr>
            </w:pPr>
            <w:r w:rsidRPr="00495094">
              <w:rPr>
                <w:rFonts w:ascii="Arial" w:hAnsi="Arial" w:cs="Arial"/>
                <w:bCs/>
                <w:sz w:val="22"/>
                <w:szCs w:val="22"/>
              </w:rPr>
              <w:t>5,6</w:t>
            </w:r>
            <w:r w:rsidR="00FE664F" w:rsidRPr="00495094">
              <w:rPr>
                <w:rFonts w:ascii="Arial" w:hAnsi="Arial" w:cs="Arial"/>
                <w:bCs/>
                <w:sz w:val="22"/>
                <w:szCs w:val="22"/>
              </w:rPr>
              <w:t>12,785</w:t>
            </w:r>
          </w:p>
        </w:tc>
      </w:tr>
    </w:tbl>
    <w:p w14:paraId="5C0E5A73" w14:textId="77777777" w:rsidR="007B1D5E" w:rsidRPr="00495094" w:rsidRDefault="007B1D5E" w:rsidP="003E5A9E">
      <w:pPr>
        <w:ind w:left="720"/>
        <w:rPr>
          <w:rFonts w:ascii="Arial" w:hAnsi="Arial" w:cs="Arial"/>
          <w:b/>
          <w:bCs/>
          <w:sz w:val="22"/>
          <w:szCs w:val="22"/>
        </w:rPr>
      </w:pPr>
    </w:p>
    <w:p w14:paraId="07FBE0C6" w14:textId="77777777" w:rsidR="00E2166F" w:rsidRPr="00495094" w:rsidRDefault="00E2166F" w:rsidP="003E5A9E">
      <w:pPr>
        <w:ind w:left="720"/>
        <w:rPr>
          <w:rFonts w:ascii="Arial" w:hAnsi="Arial" w:cs="Arial"/>
          <w:b/>
          <w:bCs/>
          <w:sz w:val="22"/>
          <w:szCs w:val="22"/>
        </w:rPr>
      </w:pPr>
    </w:p>
    <w:p w14:paraId="047D5138" w14:textId="77777777" w:rsidR="002171E2" w:rsidRPr="00495094" w:rsidRDefault="002171E2" w:rsidP="007F4EEC">
      <w:pPr>
        <w:numPr>
          <w:ilvl w:val="0"/>
          <w:numId w:val="12"/>
        </w:numPr>
        <w:ind w:left="720"/>
        <w:rPr>
          <w:rFonts w:ascii="Arial" w:hAnsi="Arial" w:cs="Arial"/>
          <w:b/>
          <w:sz w:val="22"/>
          <w:szCs w:val="22"/>
        </w:rPr>
      </w:pPr>
      <w:r w:rsidRPr="00495094">
        <w:rPr>
          <w:rFonts w:ascii="Arial" w:hAnsi="Arial" w:cs="Arial"/>
          <w:b/>
          <w:sz w:val="22"/>
          <w:szCs w:val="22"/>
        </w:rPr>
        <w:t xml:space="preserve">Miscellaneous Expenses   </w:t>
      </w:r>
    </w:p>
    <w:p w14:paraId="56A1777B" w14:textId="77777777" w:rsidR="002171E2" w:rsidRPr="00495094" w:rsidRDefault="002171E2" w:rsidP="003E5A9E">
      <w:pPr>
        <w:ind w:left="720"/>
        <w:rPr>
          <w:rFonts w:ascii="Arial" w:hAnsi="Arial" w:cs="Arial"/>
          <w:sz w:val="22"/>
          <w:szCs w:val="22"/>
          <w:u w:val="single"/>
        </w:rPr>
      </w:pPr>
    </w:p>
    <w:p w14:paraId="0B7194FC" w14:textId="77777777" w:rsidR="002171E2" w:rsidRPr="00495094" w:rsidRDefault="002171E2" w:rsidP="002171E2">
      <w:pPr>
        <w:rPr>
          <w:rFonts w:ascii="Arial" w:hAnsi="Arial" w:cs="Arial"/>
          <w:sz w:val="22"/>
          <w:szCs w:val="22"/>
        </w:rPr>
      </w:pPr>
      <w:r w:rsidRPr="00495094">
        <w:rPr>
          <w:rFonts w:ascii="Arial" w:hAnsi="Arial" w:cs="Arial"/>
          <w:sz w:val="22"/>
          <w:szCs w:val="22"/>
        </w:rPr>
        <w:t>This account is composed of:</w:t>
      </w:r>
    </w:p>
    <w:p w14:paraId="1F6D3F39" w14:textId="77777777" w:rsidR="002171E2" w:rsidRPr="00495094" w:rsidRDefault="002171E2" w:rsidP="00FA06CD">
      <w:pPr>
        <w:pStyle w:val="ListParagraph"/>
        <w:tabs>
          <w:tab w:val="clear" w:pos="1526"/>
        </w:tabs>
      </w:pPr>
    </w:p>
    <w:tbl>
      <w:tblPr>
        <w:tblW w:w="8727" w:type="dxa"/>
        <w:tblInd w:w="108" w:type="dxa"/>
        <w:tblLook w:val="04A0" w:firstRow="1" w:lastRow="0" w:firstColumn="1" w:lastColumn="0" w:noHBand="0" w:noVBand="1"/>
      </w:tblPr>
      <w:tblGrid>
        <w:gridCol w:w="5263"/>
        <w:gridCol w:w="1633"/>
        <w:gridCol w:w="1831"/>
      </w:tblGrid>
      <w:tr w:rsidR="00495094" w:rsidRPr="00495094" w14:paraId="6A5F3069" w14:textId="77777777" w:rsidTr="004738AB">
        <w:trPr>
          <w:trHeight w:val="20"/>
          <w:tblHeader/>
        </w:trPr>
        <w:tc>
          <w:tcPr>
            <w:tcW w:w="5263" w:type="dxa"/>
            <w:tcBorders>
              <w:top w:val="single" w:sz="4" w:space="0" w:color="auto"/>
              <w:left w:val="nil"/>
              <w:bottom w:val="single" w:sz="4" w:space="0" w:color="000000"/>
              <w:right w:val="nil"/>
            </w:tcBorders>
            <w:shd w:val="clear" w:color="auto" w:fill="auto"/>
            <w:vAlign w:val="center"/>
          </w:tcPr>
          <w:p w14:paraId="75B24594" w14:textId="77777777" w:rsidR="00115138" w:rsidRPr="00495094" w:rsidRDefault="00115138" w:rsidP="001F3786">
            <w:pPr>
              <w:rPr>
                <w:rFonts w:ascii="Arial" w:hAnsi="Arial" w:cs="Arial"/>
                <w:sz w:val="22"/>
                <w:szCs w:val="22"/>
                <w:lang w:val="en-PH" w:eastAsia="en-PH"/>
              </w:rPr>
            </w:pPr>
            <w:r w:rsidRPr="00495094">
              <w:rPr>
                <w:rFonts w:ascii="Arial" w:hAnsi="Arial" w:cs="Arial"/>
                <w:sz w:val="22"/>
                <w:szCs w:val="22"/>
              </w:rPr>
              <w:t> </w:t>
            </w:r>
          </w:p>
        </w:tc>
        <w:tc>
          <w:tcPr>
            <w:tcW w:w="1633" w:type="dxa"/>
            <w:tcBorders>
              <w:top w:val="single" w:sz="4" w:space="0" w:color="auto"/>
              <w:left w:val="nil"/>
              <w:bottom w:val="single" w:sz="4" w:space="0" w:color="000000"/>
              <w:right w:val="nil"/>
            </w:tcBorders>
            <w:shd w:val="clear" w:color="auto" w:fill="auto"/>
          </w:tcPr>
          <w:p w14:paraId="53242DF5" w14:textId="4E93B65B" w:rsidR="00115138" w:rsidRPr="00495094" w:rsidRDefault="00B52D2F" w:rsidP="00115138">
            <w:pPr>
              <w:jc w:val="center"/>
              <w:rPr>
                <w:rFonts w:ascii="Arial" w:hAnsi="Arial" w:cs="Arial"/>
                <w:b/>
                <w:bCs/>
                <w:sz w:val="22"/>
                <w:szCs w:val="22"/>
              </w:rPr>
            </w:pPr>
            <w:r w:rsidRPr="00495094">
              <w:rPr>
                <w:rFonts w:ascii="Arial" w:hAnsi="Arial" w:cs="Arial"/>
                <w:b/>
                <w:bCs/>
                <w:sz w:val="22"/>
                <w:szCs w:val="22"/>
              </w:rPr>
              <w:t>2022</w:t>
            </w:r>
          </w:p>
        </w:tc>
        <w:tc>
          <w:tcPr>
            <w:tcW w:w="1831" w:type="dxa"/>
            <w:tcBorders>
              <w:top w:val="single" w:sz="4" w:space="0" w:color="auto"/>
              <w:left w:val="nil"/>
              <w:bottom w:val="single" w:sz="4" w:space="0" w:color="000000"/>
              <w:right w:val="nil"/>
            </w:tcBorders>
            <w:shd w:val="clear" w:color="auto" w:fill="auto"/>
          </w:tcPr>
          <w:p w14:paraId="2E03FF20" w14:textId="66F91CAE" w:rsidR="00115138" w:rsidRPr="00495094" w:rsidRDefault="004373A7" w:rsidP="00C031A2">
            <w:pPr>
              <w:jc w:val="center"/>
              <w:rPr>
                <w:rFonts w:ascii="Arial" w:hAnsi="Arial" w:cs="Arial"/>
                <w:b/>
                <w:bCs/>
                <w:sz w:val="22"/>
                <w:szCs w:val="22"/>
              </w:rPr>
            </w:pPr>
            <w:r w:rsidRPr="00495094">
              <w:rPr>
                <w:rFonts w:ascii="Arial" w:hAnsi="Arial" w:cs="Arial"/>
                <w:b/>
                <w:bCs/>
                <w:sz w:val="22"/>
                <w:szCs w:val="22"/>
              </w:rPr>
              <w:t>2021</w:t>
            </w:r>
            <w:r w:rsidR="00115138" w:rsidRPr="00495094">
              <w:rPr>
                <w:rFonts w:ascii="Arial" w:hAnsi="Arial" w:cs="Arial"/>
                <w:b/>
                <w:bCs/>
                <w:sz w:val="22"/>
                <w:szCs w:val="22"/>
              </w:rPr>
              <w:t xml:space="preserve">                 </w:t>
            </w:r>
          </w:p>
        </w:tc>
      </w:tr>
      <w:tr w:rsidR="00495094" w:rsidRPr="00495094" w14:paraId="611145C4" w14:textId="77777777" w:rsidTr="004738AB">
        <w:trPr>
          <w:trHeight w:val="20"/>
        </w:trPr>
        <w:tc>
          <w:tcPr>
            <w:tcW w:w="5263" w:type="dxa"/>
            <w:tcBorders>
              <w:top w:val="nil"/>
              <w:left w:val="nil"/>
              <w:bottom w:val="nil"/>
              <w:right w:val="nil"/>
            </w:tcBorders>
            <w:shd w:val="clear" w:color="auto" w:fill="auto"/>
            <w:vAlign w:val="center"/>
          </w:tcPr>
          <w:p w14:paraId="047354B2" w14:textId="480AE211" w:rsidR="00B148CB" w:rsidRPr="00495094" w:rsidRDefault="00B148CB" w:rsidP="00B148CB">
            <w:pPr>
              <w:jc w:val="left"/>
              <w:rPr>
                <w:rFonts w:ascii="Arial" w:hAnsi="Arial" w:cs="Arial"/>
                <w:sz w:val="22"/>
                <w:szCs w:val="22"/>
              </w:rPr>
            </w:pPr>
            <w:r w:rsidRPr="00495094">
              <w:rPr>
                <w:rFonts w:ascii="Arial" w:hAnsi="Arial" w:cs="Arial"/>
                <w:sz w:val="22"/>
                <w:szCs w:val="22"/>
              </w:rPr>
              <w:t>Management and other professional fees</w:t>
            </w:r>
          </w:p>
        </w:tc>
        <w:tc>
          <w:tcPr>
            <w:tcW w:w="1633" w:type="dxa"/>
            <w:tcBorders>
              <w:top w:val="nil"/>
              <w:left w:val="nil"/>
              <w:bottom w:val="nil"/>
              <w:right w:val="nil"/>
            </w:tcBorders>
            <w:shd w:val="clear" w:color="auto" w:fill="auto"/>
            <w:vAlign w:val="center"/>
          </w:tcPr>
          <w:p w14:paraId="5784EBEE" w14:textId="002B0297" w:rsidR="00B148CB" w:rsidRPr="00495094" w:rsidRDefault="00925E04" w:rsidP="00925E04">
            <w:pPr>
              <w:jc w:val="right"/>
              <w:rPr>
                <w:rFonts w:ascii="Arial" w:hAnsi="Arial" w:cs="Arial"/>
                <w:sz w:val="22"/>
                <w:szCs w:val="22"/>
              </w:rPr>
            </w:pPr>
            <w:r w:rsidRPr="00495094">
              <w:rPr>
                <w:rFonts w:ascii="Arial" w:hAnsi="Arial" w:cs="Arial"/>
                <w:sz w:val="22"/>
                <w:szCs w:val="22"/>
              </w:rPr>
              <w:t>41</w:t>
            </w:r>
            <w:r w:rsidR="00B52D2F" w:rsidRPr="00495094">
              <w:rPr>
                <w:rFonts w:ascii="Arial" w:hAnsi="Arial" w:cs="Arial"/>
                <w:sz w:val="22"/>
                <w:szCs w:val="22"/>
              </w:rPr>
              <w:t>,</w:t>
            </w:r>
            <w:r w:rsidRPr="00495094">
              <w:rPr>
                <w:rFonts w:ascii="Arial" w:hAnsi="Arial" w:cs="Arial"/>
                <w:sz w:val="22"/>
                <w:szCs w:val="22"/>
              </w:rPr>
              <w:t>340</w:t>
            </w:r>
            <w:r w:rsidR="00B52D2F" w:rsidRPr="00495094">
              <w:rPr>
                <w:rFonts w:ascii="Arial" w:hAnsi="Arial" w:cs="Arial"/>
                <w:sz w:val="22"/>
                <w:szCs w:val="22"/>
              </w:rPr>
              <w:t>,</w:t>
            </w:r>
            <w:r w:rsidRPr="00495094">
              <w:rPr>
                <w:rFonts w:ascii="Arial" w:hAnsi="Arial" w:cs="Arial"/>
                <w:sz w:val="22"/>
                <w:szCs w:val="22"/>
              </w:rPr>
              <w:t>008</w:t>
            </w:r>
          </w:p>
        </w:tc>
        <w:tc>
          <w:tcPr>
            <w:tcW w:w="1831" w:type="dxa"/>
            <w:tcBorders>
              <w:top w:val="nil"/>
              <w:left w:val="nil"/>
              <w:bottom w:val="nil"/>
              <w:right w:val="nil"/>
            </w:tcBorders>
            <w:shd w:val="clear" w:color="auto" w:fill="auto"/>
            <w:vAlign w:val="center"/>
          </w:tcPr>
          <w:p w14:paraId="215BFD4D" w14:textId="733277FA" w:rsidR="00B148CB" w:rsidRPr="00495094" w:rsidRDefault="00B148CB" w:rsidP="00703D17">
            <w:pPr>
              <w:jc w:val="right"/>
              <w:rPr>
                <w:rFonts w:ascii="Arial" w:hAnsi="Arial" w:cs="Arial"/>
                <w:sz w:val="22"/>
                <w:szCs w:val="22"/>
              </w:rPr>
            </w:pPr>
            <w:r w:rsidRPr="00495094">
              <w:rPr>
                <w:rFonts w:ascii="Arial" w:hAnsi="Arial" w:cs="Arial"/>
                <w:sz w:val="22"/>
                <w:szCs w:val="22"/>
              </w:rPr>
              <w:t>2</w:t>
            </w:r>
            <w:r w:rsidR="00703D17" w:rsidRPr="00495094">
              <w:rPr>
                <w:rFonts w:ascii="Arial" w:hAnsi="Arial" w:cs="Arial"/>
                <w:sz w:val="22"/>
                <w:szCs w:val="22"/>
              </w:rPr>
              <w:t>8</w:t>
            </w:r>
            <w:r w:rsidRPr="00495094">
              <w:rPr>
                <w:rFonts w:ascii="Arial" w:hAnsi="Arial" w:cs="Arial"/>
                <w:sz w:val="22"/>
                <w:szCs w:val="22"/>
              </w:rPr>
              <w:t>,</w:t>
            </w:r>
            <w:r w:rsidR="00703D17" w:rsidRPr="00495094">
              <w:rPr>
                <w:rFonts w:ascii="Arial" w:hAnsi="Arial" w:cs="Arial"/>
                <w:sz w:val="22"/>
                <w:szCs w:val="22"/>
              </w:rPr>
              <w:t>8</w:t>
            </w:r>
            <w:r w:rsidR="004373A7" w:rsidRPr="00495094">
              <w:rPr>
                <w:rFonts w:ascii="Arial" w:hAnsi="Arial" w:cs="Arial"/>
                <w:sz w:val="22"/>
                <w:szCs w:val="22"/>
              </w:rPr>
              <w:t>7</w:t>
            </w:r>
            <w:r w:rsidR="00703D17" w:rsidRPr="00495094">
              <w:rPr>
                <w:rFonts w:ascii="Arial" w:hAnsi="Arial" w:cs="Arial"/>
                <w:sz w:val="22"/>
                <w:szCs w:val="22"/>
              </w:rPr>
              <w:t>6</w:t>
            </w:r>
            <w:r w:rsidR="004373A7" w:rsidRPr="00495094">
              <w:rPr>
                <w:rFonts w:ascii="Arial" w:hAnsi="Arial" w:cs="Arial"/>
                <w:sz w:val="22"/>
                <w:szCs w:val="22"/>
              </w:rPr>
              <w:t>,</w:t>
            </w:r>
            <w:r w:rsidR="00703D17" w:rsidRPr="00495094">
              <w:rPr>
                <w:rFonts w:ascii="Arial" w:hAnsi="Arial" w:cs="Arial"/>
                <w:sz w:val="22"/>
                <w:szCs w:val="22"/>
              </w:rPr>
              <w:t>3</w:t>
            </w:r>
            <w:r w:rsidR="004373A7" w:rsidRPr="00495094">
              <w:rPr>
                <w:rFonts w:ascii="Arial" w:hAnsi="Arial" w:cs="Arial"/>
                <w:sz w:val="22"/>
                <w:szCs w:val="22"/>
              </w:rPr>
              <w:t>0</w:t>
            </w:r>
            <w:r w:rsidR="00703D17" w:rsidRPr="00495094">
              <w:rPr>
                <w:rFonts w:ascii="Arial" w:hAnsi="Arial" w:cs="Arial"/>
                <w:sz w:val="22"/>
                <w:szCs w:val="22"/>
              </w:rPr>
              <w:t>2</w:t>
            </w:r>
          </w:p>
        </w:tc>
      </w:tr>
      <w:tr w:rsidR="00495094" w:rsidRPr="00495094" w14:paraId="166DC61E" w14:textId="77777777" w:rsidTr="004738AB">
        <w:trPr>
          <w:trHeight w:val="20"/>
        </w:trPr>
        <w:tc>
          <w:tcPr>
            <w:tcW w:w="5263" w:type="dxa"/>
            <w:tcBorders>
              <w:top w:val="nil"/>
              <w:left w:val="nil"/>
              <w:bottom w:val="nil"/>
              <w:right w:val="nil"/>
            </w:tcBorders>
            <w:shd w:val="clear" w:color="auto" w:fill="auto"/>
            <w:vAlign w:val="center"/>
          </w:tcPr>
          <w:p w14:paraId="5C802926" w14:textId="168A0890" w:rsidR="00B87DB2" w:rsidRPr="00495094" w:rsidRDefault="00B87DB2" w:rsidP="00B87DB2">
            <w:pPr>
              <w:jc w:val="left"/>
              <w:rPr>
                <w:rFonts w:ascii="Arial" w:hAnsi="Arial" w:cs="Arial"/>
                <w:sz w:val="22"/>
                <w:szCs w:val="22"/>
              </w:rPr>
            </w:pPr>
            <w:r w:rsidRPr="00495094">
              <w:rPr>
                <w:rFonts w:ascii="Arial" w:hAnsi="Arial" w:cs="Arial"/>
                <w:sz w:val="22"/>
                <w:szCs w:val="22"/>
              </w:rPr>
              <w:t>Documentary stamps used</w:t>
            </w:r>
          </w:p>
        </w:tc>
        <w:tc>
          <w:tcPr>
            <w:tcW w:w="1633" w:type="dxa"/>
            <w:tcBorders>
              <w:top w:val="nil"/>
              <w:left w:val="nil"/>
              <w:bottom w:val="nil"/>
              <w:right w:val="nil"/>
            </w:tcBorders>
            <w:shd w:val="clear" w:color="auto" w:fill="auto"/>
            <w:vAlign w:val="center"/>
          </w:tcPr>
          <w:p w14:paraId="3BB7718B" w14:textId="7AD88E57" w:rsidR="00B87DB2" w:rsidRPr="00495094" w:rsidRDefault="00B87DB2" w:rsidP="00925E04">
            <w:pPr>
              <w:jc w:val="right"/>
              <w:rPr>
                <w:rFonts w:ascii="Arial" w:hAnsi="Arial" w:cs="Arial"/>
                <w:sz w:val="22"/>
                <w:szCs w:val="22"/>
              </w:rPr>
            </w:pPr>
            <w:r w:rsidRPr="00495094">
              <w:rPr>
                <w:rFonts w:ascii="Arial" w:hAnsi="Arial" w:cs="Arial"/>
                <w:sz w:val="22"/>
                <w:szCs w:val="22"/>
              </w:rPr>
              <w:t>1</w:t>
            </w:r>
            <w:r w:rsidR="00B52D2F" w:rsidRPr="00495094">
              <w:rPr>
                <w:rFonts w:ascii="Arial" w:hAnsi="Arial" w:cs="Arial"/>
                <w:sz w:val="22"/>
                <w:szCs w:val="22"/>
              </w:rPr>
              <w:t>5,</w:t>
            </w:r>
            <w:r w:rsidR="00925E04" w:rsidRPr="00495094">
              <w:rPr>
                <w:rFonts w:ascii="Arial" w:hAnsi="Arial" w:cs="Arial"/>
                <w:sz w:val="22"/>
                <w:szCs w:val="22"/>
              </w:rPr>
              <w:t>94</w:t>
            </w:r>
            <w:r w:rsidR="00B52D2F" w:rsidRPr="00495094">
              <w:rPr>
                <w:rFonts w:ascii="Arial" w:hAnsi="Arial" w:cs="Arial"/>
                <w:sz w:val="22"/>
                <w:szCs w:val="22"/>
              </w:rPr>
              <w:t>6,</w:t>
            </w:r>
            <w:r w:rsidR="00925E04" w:rsidRPr="00495094">
              <w:rPr>
                <w:rFonts w:ascii="Arial" w:hAnsi="Arial" w:cs="Arial"/>
                <w:sz w:val="22"/>
                <w:szCs w:val="22"/>
              </w:rPr>
              <w:t>9</w:t>
            </w:r>
            <w:r w:rsidR="00B52D2F" w:rsidRPr="00495094">
              <w:rPr>
                <w:rFonts w:ascii="Arial" w:hAnsi="Arial" w:cs="Arial"/>
                <w:sz w:val="22"/>
                <w:szCs w:val="22"/>
              </w:rPr>
              <w:t>2</w:t>
            </w:r>
            <w:r w:rsidR="00925E04" w:rsidRPr="00495094">
              <w:rPr>
                <w:rFonts w:ascii="Arial" w:hAnsi="Arial" w:cs="Arial"/>
                <w:sz w:val="22"/>
                <w:szCs w:val="22"/>
              </w:rPr>
              <w:t>6</w:t>
            </w:r>
          </w:p>
        </w:tc>
        <w:tc>
          <w:tcPr>
            <w:tcW w:w="1831" w:type="dxa"/>
            <w:tcBorders>
              <w:top w:val="nil"/>
              <w:left w:val="nil"/>
              <w:bottom w:val="nil"/>
              <w:right w:val="nil"/>
            </w:tcBorders>
            <w:shd w:val="clear" w:color="auto" w:fill="auto"/>
            <w:vAlign w:val="center"/>
          </w:tcPr>
          <w:p w14:paraId="078BBA11" w14:textId="7F02D6F0" w:rsidR="00B87DB2" w:rsidRPr="00495094" w:rsidRDefault="00B87DB2" w:rsidP="004373A7">
            <w:pPr>
              <w:jc w:val="right"/>
              <w:rPr>
                <w:rFonts w:ascii="Arial" w:hAnsi="Arial" w:cs="Arial"/>
                <w:sz w:val="22"/>
                <w:szCs w:val="22"/>
              </w:rPr>
            </w:pPr>
            <w:r w:rsidRPr="00495094">
              <w:rPr>
                <w:rFonts w:ascii="Arial" w:hAnsi="Arial" w:cs="Arial"/>
                <w:sz w:val="22"/>
                <w:szCs w:val="22"/>
              </w:rPr>
              <w:t>1</w:t>
            </w:r>
            <w:r w:rsidR="004373A7" w:rsidRPr="00495094">
              <w:rPr>
                <w:rFonts w:ascii="Arial" w:hAnsi="Arial" w:cs="Arial"/>
                <w:sz w:val="22"/>
                <w:szCs w:val="22"/>
              </w:rPr>
              <w:t>6,716,539</w:t>
            </w:r>
          </w:p>
        </w:tc>
      </w:tr>
      <w:tr w:rsidR="00495094" w:rsidRPr="00495094" w14:paraId="2E9C6A6E" w14:textId="77777777" w:rsidTr="004738AB">
        <w:trPr>
          <w:trHeight w:val="20"/>
        </w:trPr>
        <w:tc>
          <w:tcPr>
            <w:tcW w:w="5263" w:type="dxa"/>
            <w:tcBorders>
              <w:top w:val="nil"/>
              <w:left w:val="nil"/>
              <w:bottom w:val="nil"/>
              <w:right w:val="nil"/>
            </w:tcBorders>
            <w:shd w:val="clear" w:color="auto" w:fill="auto"/>
            <w:vAlign w:val="center"/>
          </w:tcPr>
          <w:p w14:paraId="348C3C7D" w14:textId="03E24277" w:rsidR="00B87DB2" w:rsidRPr="00495094" w:rsidRDefault="00B87DB2" w:rsidP="00B87DB2">
            <w:pPr>
              <w:jc w:val="left"/>
              <w:rPr>
                <w:rFonts w:ascii="Arial" w:hAnsi="Arial" w:cs="Arial"/>
                <w:sz w:val="22"/>
                <w:szCs w:val="22"/>
              </w:rPr>
            </w:pPr>
            <w:r w:rsidRPr="00495094">
              <w:rPr>
                <w:rFonts w:ascii="Arial" w:hAnsi="Arial" w:cs="Arial"/>
                <w:sz w:val="22"/>
                <w:szCs w:val="22"/>
              </w:rPr>
              <w:t>Information technology</w:t>
            </w:r>
          </w:p>
        </w:tc>
        <w:tc>
          <w:tcPr>
            <w:tcW w:w="1633" w:type="dxa"/>
            <w:tcBorders>
              <w:top w:val="nil"/>
              <w:left w:val="nil"/>
              <w:bottom w:val="nil"/>
              <w:right w:val="nil"/>
            </w:tcBorders>
            <w:shd w:val="clear" w:color="auto" w:fill="auto"/>
            <w:vAlign w:val="center"/>
          </w:tcPr>
          <w:p w14:paraId="02F96945" w14:textId="73EBD22D" w:rsidR="00B87DB2" w:rsidRPr="00495094" w:rsidRDefault="00B52D2F" w:rsidP="00B87DB2">
            <w:pPr>
              <w:jc w:val="right"/>
              <w:rPr>
                <w:rFonts w:ascii="Arial" w:hAnsi="Arial" w:cs="Arial"/>
                <w:sz w:val="22"/>
                <w:szCs w:val="22"/>
              </w:rPr>
            </w:pPr>
            <w:r w:rsidRPr="00495094">
              <w:rPr>
                <w:rFonts w:ascii="Arial" w:hAnsi="Arial" w:cs="Arial"/>
                <w:sz w:val="22"/>
                <w:szCs w:val="22"/>
              </w:rPr>
              <w:t>7,385,858</w:t>
            </w:r>
          </w:p>
        </w:tc>
        <w:tc>
          <w:tcPr>
            <w:tcW w:w="1831" w:type="dxa"/>
            <w:tcBorders>
              <w:top w:val="nil"/>
              <w:left w:val="nil"/>
              <w:bottom w:val="nil"/>
              <w:right w:val="nil"/>
            </w:tcBorders>
            <w:shd w:val="clear" w:color="auto" w:fill="auto"/>
            <w:vAlign w:val="center"/>
          </w:tcPr>
          <w:p w14:paraId="35483816" w14:textId="150B287E" w:rsidR="00B87DB2" w:rsidRPr="00495094" w:rsidRDefault="004373A7" w:rsidP="00B87DB2">
            <w:pPr>
              <w:jc w:val="right"/>
              <w:rPr>
                <w:rFonts w:ascii="Arial" w:hAnsi="Arial" w:cs="Arial"/>
                <w:sz w:val="22"/>
                <w:szCs w:val="22"/>
              </w:rPr>
            </w:pPr>
            <w:r w:rsidRPr="00495094">
              <w:rPr>
                <w:rFonts w:ascii="Arial" w:hAnsi="Arial" w:cs="Arial"/>
                <w:sz w:val="22"/>
                <w:szCs w:val="22"/>
              </w:rPr>
              <w:t>14,693,858</w:t>
            </w:r>
          </w:p>
        </w:tc>
      </w:tr>
      <w:tr w:rsidR="00495094" w:rsidRPr="00495094" w14:paraId="4BA9FFF5" w14:textId="77777777" w:rsidTr="004738AB">
        <w:trPr>
          <w:trHeight w:val="20"/>
        </w:trPr>
        <w:tc>
          <w:tcPr>
            <w:tcW w:w="5263" w:type="dxa"/>
            <w:tcBorders>
              <w:top w:val="nil"/>
              <w:left w:val="nil"/>
              <w:bottom w:val="nil"/>
              <w:right w:val="nil"/>
            </w:tcBorders>
            <w:shd w:val="clear" w:color="auto" w:fill="auto"/>
            <w:vAlign w:val="center"/>
          </w:tcPr>
          <w:p w14:paraId="3DCC3F6C" w14:textId="79DDCD1F" w:rsidR="00B87DB2" w:rsidRPr="00495094" w:rsidRDefault="00B87DB2" w:rsidP="00B87DB2">
            <w:pPr>
              <w:jc w:val="left"/>
              <w:rPr>
                <w:rFonts w:ascii="Arial" w:hAnsi="Arial" w:cs="Arial"/>
                <w:sz w:val="22"/>
                <w:szCs w:val="22"/>
              </w:rPr>
            </w:pPr>
            <w:r w:rsidRPr="00495094">
              <w:rPr>
                <w:rFonts w:ascii="Arial" w:hAnsi="Arial" w:cs="Arial"/>
                <w:sz w:val="22"/>
                <w:szCs w:val="22"/>
              </w:rPr>
              <w:t xml:space="preserve">Security, clerical, messengerial and janitorial          </w:t>
            </w:r>
          </w:p>
        </w:tc>
        <w:tc>
          <w:tcPr>
            <w:tcW w:w="1633" w:type="dxa"/>
            <w:tcBorders>
              <w:top w:val="nil"/>
              <w:left w:val="nil"/>
              <w:bottom w:val="nil"/>
              <w:right w:val="nil"/>
            </w:tcBorders>
            <w:shd w:val="clear" w:color="auto" w:fill="auto"/>
            <w:vAlign w:val="center"/>
          </w:tcPr>
          <w:p w14:paraId="5FA9D75B" w14:textId="3EB69914" w:rsidR="00B87DB2" w:rsidRPr="00495094" w:rsidRDefault="00B52D2F" w:rsidP="00B87DB2">
            <w:pPr>
              <w:jc w:val="right"/>
              <w:rPr>
                <w:rFonts w:ascii="Arial" w:hAnsi="Arial" w:cs="Arial"/>
                <w:sz w:val="22"/>
                <w:szCs w:val="22"/>
              </w:rPr>
            </w:pPr>
            <w:r w:rsidRPr="00495094">
              <w:rPr>
                <w:rFonts w:ascii="Arial" w:hAnsi="Arial" w:cs="Arial"/>
                <w:sz w:val="22"/>
                <w:szCs w:val="22"/>
              </w:rPr>
              <w:t>4,913,773</w:t>
            </w:r>
          </w:p>
        </w:tc>
        <w:tc>
          <w:tcPr>
            <w:tcW w:w="1831" w:type="dxa"/>
            <w:tcBorders>
              <w:top w:val="nil"/>
              <w:left w:val="nil"/>
              <w:bottom w:val="nil"/>
              <w:right w:val="nil"/>
            </w:tcBorders>
            <w:shd w:val="clear" w:color="auto" w:fill="auto"/>
            <w:vAlign w:val="center"/>
          </w:tcPr>
          <w:p w14:paraId="11B79A60" w14:textId="5C02093F" w:rsidR="00B87DB2" w:rsidRPr="00495094" w:rsidRDefault="004373A7" w:rsidP="00B87DB2">
            <w:pPr>
              <w:jc w:val="right"/>
              <w:rPr>
                <w:rFonts w:ascii="Arial" w:hAnsi="Arial" w:cs="Arial"/>
                <w:sz w:val="22"/>
                <w:szCs w:val="22"/>
              </w:rPr>
            </w:pPr>
            <w:r w:rsidRPr="00495094">
              <w:rPr>
                <w:rFonts w:ascii="Arial" w:hAnsi="Arial" w:cs="Arial"/>
                <w:sz w:val="22"/>
                <w:szCs w:val="22"/>
              </w:rPr>
              <w:t>6,316,722</w:t>
            </w:r>
          </w:p>
        </w:tc>
      </w:tr>
      <w:tr w:rsidR="00495094" w:rsidRPr="00495094" w14:paraId="4CBD9690" w14:textId="77777777" w:rsidTr="004738AB">
        <w:trPr>
          <w:trHeight w:val="20"/>
        </w:trPr>
        <w:tc>
          <w:tcPr>
            <w:tcW w:w="5263" w:type="dxa"/>
            <w:tcBorders>
              <w:top w:val="nil"/>
              <w:left w:val="nil"/>
              <w:bottom w:val="nil"/>
              <w:right w:val="nil"/>
            </w:tcBorders>
            <w:shd w:val="clear" w:color="auto" w:fill="auto"/>
            <w:vAlign w:val="center"/>
          </w:tcPr>
          <w:p w14:paraId="52FE0EF0" w14:textId="6B619CBA" w:rsidR="00B87DB2" w:rsidRPr="00495094" w:rsidRDefault="00B87DB2" w:rsidP="00B87DB2">
            <w:pPr>
              <w:jc w:val="left"/>
              <w:rPr>
                <w:rFonts w:ascii="Arial" w:hAnsi="Arial" w:cs="Arial"/>
                <w:sz w:val="22"/>
                <w:szCs w:val="22"/>
              </w:rPr>
            </w:pPr>
            <w:r w:rsidRPr="00495094">
              <w:rPr>
                <w:rFonts w:ascii="Arial" w:hAnsi="Arial" w:cs="Arial"/>
                <w:sz w:val="22"/>
                <w:szCs w:val="22"/>
              </w:rPr>
              <w:t>Insurance</w:t>
            </w:r>
          </w:p>
        </w:tc>
        <w:tc>
          <w:tcPr>
            <w:tcW w:w="1633" w:type="dxa"/>
            <w:tcBorders>
              <w:top w:val="nil"/>
              <w:left w:val="nil"/>
              <w:bottom w:val="nil"/>
              <w:right w:val="nil"/>
            </w:tcBorders>
            <w:shd w:val="clear" w:color="auto" w:fill="auto"/>
            <w:vAlign w:val="center"/>
          </w:tcPr>
          <w:p w14:paraId="778FFA21" w14:textId="1FFDD9B3" w:rsidR="00B87DB2" w:rsidRPr="00495094" w:rsidRDefault="00B52D2F" w:rsidP="00B87DB2">
            <w:pPr>
              <w:jc w:val="right"/>
              <w:rPr>
                <w:rFonts w:ascii="Arial" w:hAnsi="Arial" w:cs="Arial"/>
                <w:sz w:val="22"/>
                <w:szCs w:val="22"/>
              </w:rPr>
            </w:pPr>
            <w:r w:rsidRPr="00495094">
              <w:rPr>
                <w:rFonts w:ascii="Arial" w:hAnsi="Arial" w:cs="Arial"/>
                <w:sz w:val="22"/>
                <w:szCs w:val="22"/>
              </w:rPr>
              <w:t>6,581,771</w:t>
            </w:r>
          </w:p>
        </w:tc>
        <w:tc>
          <w:tcPr>
            <w:tcW w:w="1831" w:type="dxa"/>
            <w:tcBorders>
              <w:top w:val="nil"/>
              <w:left w:val="nil"/>
              <w:bottom w:val="nil"/>
              <w:right w:val="nil"/>
            </w:tcBorders>
            <w:shd w:val="clear" w:color="auto" w:fill="auto"/>
            <w:vAlign w:val="center"/>
          </w:tcPr>
          <w:p w14:paraId="697BC83C" w14:textId="6687AB0E" w:rsidR="00B87DB2" w:rsidRPr="00495094" w:rsidRDefault="00B87DB2" w:rsidP="004373A7">
            <w:pPr>
              <w:jc w:val="right"/>
              <w:rPr>
                <w:rFonts w:ascii="Arial" w:hAnsi="Arial" w:cs="Arial"/>
                <w:sz w:val="22"/>
                <w:szCs w:val="22"/>
              </w:rPr>
            </w:pPr>
            <w:r w:rsidRPr="00495094">
              <w:rPr>
                <w:rFonts w:ascii="Arial" w:hAnsi="Arial" w:cs="Arial"/>
                <w:sz w:val="22"/>
                <w:szCs w:val="22"/>
              </w:rPr>
              <w:t>5,5</w:t>
            </w:r>
            <w:r w:rsidR="004373A7" w:rsidRPr="00495094">
              <w:rPr>
                <w:rFonts w:ascii="Arial" w:hAnsi="Arial" w:cs="Arial"/>
                <w:sz w:val="22"/>
                <w:szCs w:val="22"/>
              </w:rPr>
              <w:t>76,363</w:t>
            </w:r>
          </w:p>
        </w:tc>
      </w:tr>
      <w:tr w:rsidR="00495094" w:rsidRPr="00495094" w14:paraId="7CFF1278" w14:textId="77777777" w:rsidTr="004738AB">
        <w:trPr>
          <w:trHeight w:val="20"/>
        </w:trPr>
        <w:tc>
          <w:tcPr>
            <w:tcW w:w="5263" w:type="dxa"/>
            <w:tcBorders>
              <w:top w:val="nil"/>
              <w:left w:val="nil"/>
              <w:bottom w:val="nil"/>
              <w:right w:val="nil"/>
            </w:tcBorders>
            <w:shd w:val="clear" w:color="auto" w:fill="auto"/>
            <w:vAlign w:val="center"/>
          </w:tcPr>
          <w:p w14:paraId="1E5FEFF3" w14:textId="5D6695B6" w:rsidR="00B87DB2" w:rsidRPr="00495094" w:rsidRDefault="00B87DB2" w:rsidP="00B87DB2">
            <w:pPr>
              <w:jc w:val="left"/>
              <w:rPr>
                <w:rFonts w:ascii="Arial" w:hAnsi="Arial" w:cs="Arial"/>
                <w:sz w:val="22"/>
                <w:szCs w:val="22"/>
              </w:rPr>
            </w:pPr>
            <w:r w:rsidRPr="00495094">
              <w:rPr>
                <w:rFonts w:ascii="Arial" w:hAnsi="Arial" w:cs="Arial"/>
                <w:sz w:val="22"/>
                <w:szCs w:val="22"/>
              </w:rPr>
              <w:t>Advertising and publicity</w:t>
            </w:r>
          </w:p>
        </w:tc>
        <w:tc>
          <w:tcPr>
            <w:tcW w:w="1633" w:type="dxa"/>
            <w:tcBorders>
              <w:top w:val="nil"/>
              <w:left w:val="nil"/>
              <w:bottom w:val="nil"/>
              <w:right w:val="nil"/>
            </w:tcBorders>
            <w:shd w:val="clear" w:color="auto" w:fill="auto"/>
            <w:vAlign w:val="center"/>
          </w:tcPr>
          <w:p w14:paraId="61850F8C" w14:textId="5971143B" w:rsidR="00B87DB2" w:rsidRPr="00495094" w:rsidRDefault="00B52D2F" w:rsidP="00B87DB2">
            <w:pPr>
              <w:jc w:val="right"/>
              <w:rPr>
                <w:rFonts w:ascii="Arial" w:hAnsi="Arial" w:cs="Arial"/>
                <w:sz w:val="22"/>
                <w:szCs w:val="22"/>
              </w:rPr>
            </w:pPr>
            <w:r w:rsidRPr="00495094">
              <w:rPr>
                <w:rFonts w:ascii="Arial" w:hAnsi="Arial" w:cs="Arial"/>
                <w:sz w:val="22"/>
                <w:szCs w:val="22"/>
              </w:rPr>
              <w:t>1,406,585</w:t>
            </w:r>
          </w:p>
        </w:tc>
        <w:tc>
          <w:tcPr>
            <w:tcW w:w="1831" w:type="dxa"/>
            <w:tcBorders>
              <w:top w:val="nil"/>
              <w:left w:val="nil"/>
              <w:bottom w:val="nil"/>
              <w:right w:val="nil"/>
            </w:tcBorders>
            <w:shd w:val="clear" w:color="auto" w:fill="auto"/>
            <w:vAlign w:val="center"/>
          </w:tcPr>
          <w:p w14:paraId="48B258A2" w14:textId="3C9510A9" w:rsidR="00B87DB2" w:rsidRPr="00495094" w:rsidRDefault="004373A7" w:rsidP="00B87DB2">
            <w:pPr>
              <w:jc w:val="right"/>
              <w:rPr>
                <w:rFonts w:ascii="Arial" w:hAnsi="Arial" w:cs="Arial"/>
                <w:sz w:val="22"/>
                <w:szCs w:val="22"/>
              </w:rPr>
            </w:pPr>
            <w:r w:rsidRPr="00495094">
              <w:rPr>
                <w:rFonts w:ascii="Arial" w:hAnsi="Arial" w:cs="Arial"/>
                <w:sz w:val="22"/>
                <w:szCs w:val="22"/>
              </w:rPr>
              <w:t>5,413,390</w:t>
            </w:r>
          </w:p>
        </w:tc>
      </w:tr>
      <w:tr w:rsidR="00495094" w:rsidRPr="00495094" w14:paraId="0168BA34" w14:textId="77777777" w:rsidTr="004738AB">
        <w:trPr>
          <w:trHeight w:val="20"/>
        </w:trPr>
        <w:tc>
          <w:tcPr>
            <w:tcW w:w="5263" w:type="dxa"/>
            <w:tcBorders>
              <w:top w:val="nil"/>
              <w:left w:val="nil"/>
              <w:bottom w:val="nil"/>
              <w:right w:val="nil"/>
            </w:tcBorders>
            <w:shd w:val="clear" w:color="auto" w:fill="auto"/>
            <w:vAlign w:val="center"/>
          </w:tcPr>
          <w:p w14:paraId="71356122" w14:textId="21AF703C" w:rsidR="00B87DB2" w:rsidRPr="00495094" w:rsidRDefault="00B87DB2" w:rsidP="00B87DB2">
            <w:pPr>
              <w:jc w:val="left"/>
              <w:rPr>
                <w:rFonts w:ascii="Arial" w:hAnsi="Arial" w:cs="Arial"/>
                <w:sz w:val="22"/>
                <w:szCs w:val="22"/>
              </w:rPr>
            </w:pPr>
            <w:r w:rsidRPr="00495094">
              <w:rPr>
                <w:rFonts w:ascii="Arial" w:hAnsi="Arial" w:cs="Arial"/>
                <w:sz w:val="22"/>
                <w:szCs w:val="22"/>
              </w:rPr>
              <w:t>Impairment loss</w:t>
            </w:r>
          </w:p>
        </w:tc>
        <w:tc>
          <w:tcPr>
            <w:tcW w:w="1633" w:type="dxa"/>
            <w:tcBorders>
              <w:top w:val="nil"/>
              <w:left w:val="nil"/>
              <w:bottom w:val="nil"/>
              <w:right w:val="nil"/>
            </w:tcBorders>
            <w:shd w:val="clear" w:color="auto" w:fill="auto"/>
            <w:vAlign w:val="center"/>
          </w:tcPr>
          <w:p w14:paraId="27DC4766" w14:textId="175D3EC7" w:rsidR="00B87DB2" w:rsidRPr="00495094" w:rsidRDefault="00B52D2F" w:rsidP="00B87DB2">
            <w:pPr>
              <w:jc w:val="right"/>
              <w:rPr>
                <w:rFonts w:ascii="Arial" w:hAnsi="Arial" w:cs="Arial"/>
                <w:sz w:val="22"/>
                <w:szCs w:val="22"/>
              </w:rPr>
            </w:pPr>
            <w:r w:rsidRPr="00495094">
              <w:rPr>
                <w:rFonts w:ascii="Arial" w:hAnsi="Arial" w:cs="Arial"/>
                <w:sz w:val="22"/>
                <w:szCs w:val="22"/>
              </w:rPr>
              <w:t>147,083</w:t>
            </w:r>
          </w:p>
        </w:tc>
        <w:tc>
          <w:tcPr>
            <w:tcW w:w="1831" w:type="dxa"/>
            <w:tcBorders>
              <w:top w:val="nil"/>
              <w:left w:val="nil"/>
              <w:bottom w:val="nil"/>
              <w:right w:val="nil"/>
            </w:tcBorders>
            <w:shd w:val="clear" w:color="auto" w:fill="auto"/>
            <w:vAlign w:val="center"/>
          </w:tcPr>
          <w:p w14:paraId="48ABC9C7" w14:textId="094D9A38" w:rsidR="00B87DB2" w:rsidRPr="00495094" w:rsidRDefault="004373A7" w:rsidP="00B87DB2">
            <w:pPr>
              <w:jc w:val="right"/>
              <w:rPr>
                <w:rFonts w:ascii="Arial" w:hAnsi="Arial" w:cs="Arial"/>
                <w:sz w:val="22"/>
                <w:szCs w:val="22"/>
              </w:rPr>
            </w:pPr>
            <w:r w:rsidRPr="00495094">
              <w:rPr>
                <w:rFonts w:ascii="Arial" w:hAnsi="Arial" w:cs="Arial"/>
                <w:sz w:val="22"/>
                <w:szCs w:val="22"/>
              </w:rPr>
              <w:t>5,240,166</w:t>
            </w:r>
          </w:p>
        </w:tc>
      </w:tr>
      <w:tr w:rsidR="00495094" w:rsidRPr="00495094" w14:paraId="15366561" w14:textId="77777777" w:rsidTr="004738AB">
        <w:trPr>
          <w:trHeight w:val="20"/>
        </w:trPr>
        <w:tc>
          <w:tcPr>
            <w:tcW w:w="5263" w:type="dxa"/>
            <w:tcBorders>
              <w:top w:val="nil"/>
              <w:left w:val="nil"/>
              <w:bottom w:val="nil"/>
              <w:right w:val="nil"/>
            </w:tcBorders>
            <w:shd w:val="clear" w:color="auto" w:fill="auto"/>
            <w:vAlign w:val="center"/>
          </w:tcPr>
          <w:p w14:paraId="7D88AFA1" w14:textId="5495B1CC" w:rsidR="00B87DB2" w:rsidRPr="00495094" w:rsidRDefault="00B87DB2" w:rsidP="00B87DB2">
            <w:pPr>
              <w:jc w:val="left"/>
              <w:rPr>
                <w:rFonts w:ascii="Arial" w:hAnsi="Arial" w:cs="Arial"/>
                <w:sz w:val="22"/>
                <w:szCs w:val="22"/>
              </w:rPr>
            </w:pPr>
            <w:r w:rsidRPr="00495094">
              <w:rPr>
                <w:rFonts w:ascii="Arial" w:hAnsi="Arial" w:cs="Arial"/>
                <w:sz w:val="22"/>
                <w:szCs w:val="22"/>
              </w:rPr>
              <w:t>Power, light and water</w:t>
            </w:r>
          </w:p>
        </w:tc>
        <w:tc>
          <w:tcPr>
            <w:tcW w:w="1633" w:type="dxa"/>
            <w:tcBorders>
              <w:top w:val="nil"/>
              <w:left w:val="nil"/>
              <w:bottom w:val="nil"/>
              <w:right w:val="nil"/>
            </w:tcBorders>
            <w:shd w:val="clear" w:color="auto" w:fill="auto"/>
            <w:vAlign w:val="center"/>
          </w:tcPr>
          <w:p w14:paraId="7FC6A227" w14:textId="0F23F687" w:rsidR="00B87DB2" w:rsidRPr="00495094" w:rsidRDefault="00925E04" w:rsidP="00925E04">
            <w:pPr>
              <w:jc w:val="right"/>
              <w:rPr>
                <w:rFonts w:ascii="Arial" w:hAnsi="Arial" w:cs="Arial"/>
                <w:sz w:val="22"/>
                <w:szCs w:val="22"/>
              </w:rPr>
            </w:pPr>
            <w:r w:rsidRPr="00495094">
              <w:rPr>
                <w:rFonts w:ascii="Arial" w:hAnsi="Arial" w:cs="Arial"/>
                <w:sz w:val="22"/>
                <w:szCs w:val="22"/>
              </w:rPr>
              <w:t>1</w:t>
            </w:r>
            <w:r w:rsidR="00B52D2F" w:rsidRPr="00495094">
              <w:rPr>
                <w:rFonts w:ascii="Arial" w:hAnsi="Arial" w:cs="Arial"/>
                <w:sz w:val="22"/>
                <w:szCs w:val="22"/>
              </w:rPr>
              <w:t>,8</w:t>
            </w:r>
            <w:r w:rsidRPr="00495094">
              <w:rPr>
                <w:rFonts w:ascii="Arial" w:hAnsi="Arial" w:cs="Arial"/>
                <w:sz w:val="22"/>
                <w:szCs w:val="22"/>
              </w:rPr>
              <w:t>75</w:t>
            </w:r>
            <w:r w:rsidR="00B52D2F" w:rsidRPr="00495094">
              <w:rPr>
                <w:rFonts w:ascii="Arial" w:hAnsi="Arial" w:cs="Arial"/>
                <w:sz w:val="22"/>
                <w:szCs w:val="22"/>
              </w:rPr>
              <w:t>,</w:t>
            </w:r>
            <w:r w:rsidRPr="00495094">
              <w:rPr>
                <w:rFonts w:ascii="Arial" w:hAnsi="Arial" w:cs="Arial"/>
                <w:sz w:val="22"/>
                <w:szCs w:val="22"/>
              </w:rPr>
              <w:t>4</w:t>
            </w:r>
            <w:r w:rsidR="00B52D2F" w:rsidRPr="00495094">
              <w:rPr>
                <w:rFonts w:ascii="Arial" w:hAnsi="Arial" w:cs="Arial"/>
                <w:sz w:val="22"/>
                <w:szCs w:val="22"/>
              </w:rPr>
              <w:t>8</w:t>
            </w:r>
            <w:r w:rsidRPr="00495094">
              <w:rPr>
                <w:rFonts w:ascii="Arial" w:hAnsi="Arial" w:cs="Arial"/>
                <w:sz w:val="22"/>
                <w:szCs w:val="22"/>
              </w:rPr>
              <w:t>3</w:t>
            </w:r>
          </w:p>
        </w:tc>
        <w:tc>
          <w:tcPr>
            <w:tcW w:w="1831" w:type="dxa"/>
            <w:tcBorders>
              <w:top w:val="nil"/>
              <w:left w:val="nil"/>
              <w:bottom w:val="nil"/>
              <w:right w:val="nil"/>
            </w:tcBorders>
            <w:shd w:val="clear" w:color="auto" w:fill="auto"/>
            <w:vAlign w:val="center"/>
          </w:tcPr>
          <w:p w14:paraId="0247BD50" w14:textId="0532C91C" w:rsidR="00B87DB2" w:rsidRPr="00495094" w:rsidRDefault="00B87DB2" w:rsidP="004373A7">
            <w:pPr>
              <w:jc w:val="right"/>
              <w:rPr>
                <w:rFonts w:ascii="Arial" w:hAnsi="Arial" w:cs="Arial"/>
                <w:sz w:val="22"/>
                <w:szCs w:val="22"/>
              </w:rPr>
            </w:pPr>
            <w:r w:rsidRPr="00495094">
              <w:rPr>
                <w:rFonts w:ascii="Arial" w:hAnsi="Arial" w:cs="Arial"/>
                <w:sz w:val="22"/>
                <w:szCs w:val="22"/>
              </w:rPr>
              <w:t>2,</w:t>
            </w:r>
            <w:r w:rsidR="004373A7" w:rsidRPr="00495094">
              <w:rPr>
                <w:rFonts w:ascii="Arial" w:hAnsi="Arial" w:cs="Arial"/>
                <w:sz w:val="22"/>
                <w:szCs w:val="22"/>
              </w:rPr>
              <w:t>118,230</w:t>
            </w:r>
          </w:p>
        </w:tc>
      </w:tr>
      <w:tr w:rsidR="00495094" w:rsidRPr="00495094" w14:paraId="005D316F" w14:textId="77777777" w:rsidTr="004738AB">
        <w:trPr>
          <w:trHeight w:val="20"/>
        </w:trPr>
        <w:tc>
          <w:tcPr>
            <w:tcW w:w="5263" w:type="dxa"/>
            <w:tcBorders>
              <w:top w:val="nil"/>
              <w:left w:val="nil"/>
              <w:bottom w:val="nil"/>
              <w:right w:val="nil"/>
            </w:tcBorders>
            <w:shd w:val="clear" w:color="auto" w:fill="auto"/>
            <w:vAlign w:val="center"/>
          </w:tcPr>
          <w:p w14:paraId="5D05FC20" w14:textId="33309E47" w:rsidR="00B87DB2" w:rsidRPr="00495094" w:rsidRDefault="00B87DB2" w:rsidP="00B87DB2">
            <w:pPr>
              <w:jc w:val="left"/>
              <w:rPr>
                <w:rFonts w:ascii="Arial" w:hAnsi="Arial" w:cs="Arial"/>
                <w:sz w:val="22"/>
                <w:szCs w:val="22"/>
              </w:rPr>
            </w:pPr>
            <w:r w:rsidRPr="00495094">
              <w:rPr>
                <w:rFonts w:ascii="Arial" w:hAnsi="Arial" w:cs="Arial"/>
                <w:sz w:val="22"/>
                <w:szCs w:val="22"/>
              </w:rPr>
              <w:t>Stationeries and supplies used</w:t>
            </w:r>
          </w:p>
        </w:tc>
        <w:tc>
          <w:tcPr>
            <w:tcW w:w="1633" w:type="dxa"/>
            <w:tcBorders>
              <w:top w:val="nil"/>
              <w:left w:val="nil"/>
              <w:bottom w:val="nil"/>
              <w:right w:val="nil"/>
            </w:tcBorders>
            <w:shd w:val="clear" w:color="auto" w:fill="auto"/>
            <w:vAlign w:val="center"/>
          </w:tcPr>
          <w:p w14:paraId="49A6495E" w14:textId="2BA4156A" w:rsidR="00B87DB2" w:rsidRPr="00495094" w:rsidRDefault="00B52D2F" w:rsidP="00925E04">
            <w:pPr>
              <w:jc w:val="right"/>
              <w:rPr>
                <w:rFonts w:ascii="Arial" w:hAnsi="Arial" w:cs="Arial"/>
                <w:sz w:val="22"/>
                <w:szCs w:val="22"/>
              </w:rPr>
            </w:pPr>
            <w:r w:rsidRPr="00495094">
              <w:rPr>
                <w:rFonts w:ascii="Arial" w:hAnsi="Arial" w:cs="Arial"/>
                <w:sz w:val="22"/>
                <w:szCs w:val="22"/>
              </w:rPr>
              <w:t>1,5</w:t>
            </w:r>
            <w:r w:rsidR="00925E04" w:rsidRPr="00495094">
              <w:rPr>
                <w:rFonts w:ascii="Arial" w:hAnsi="Arial" w:cs="Arial"/>
                <w:sz w:val="22"/>
                <w:szCs w:val="22"/>
              </w:rPr>
              <w:t>65</w:t>
            </w:r>
            <w:r w:rsidRPr="00495094">
              <w:rPr>
                <w:rFonts w:ascii="Arial" w:hAnsi="Arial" w:cs="Arial"/>
                <w:sz w:val="22"/>
                <w:szCs w:val="22"/>
              </w:rPr>
              <w:t>,79</w:t>
            </w:r>
            <w:r w:rsidR="00925E04" w:rsidRPr="00495094">
              <w:rPr>
                <w:rFonts w:ascii="Arial" w:hAnsi="Arial" w:cs="Arial"/>
                <w:sz w:val="22"/>
                <w:szCs w:val="22"/>
              </w:rPr>
              <w:t>2</w:t>
            </w:r>
          </w:p>
        </w:tc>
        <w:tc>
          <w:tcPr>
            <w:tcW w:w="1831" w:type="dxa"/>
            <w:tcBorders>
              <w:top w:val="nil"/>
              <w:left w:val="nil"/>
              <w:bottom w:val="nil"/>
              <w:right w:val="nil"/>
            </w:tcBorders>
            <w:shd w:val="clear" w:color="auto" w:fill="auto"/>
            <w:vAlign w:val="center"/>
          </w:tcPr>
          <w:p w14:paraId="0B596AA7" w14:textId="5730CD03" w:rsidR="00B87DB2" w:rsidRPr="00495094" w:rsidRDefault="00FE664F">
            <w:pPr>
              <w:jc w:val="right"/>
              <w:rPr>
                <w:rFonts w:ascii="Arial" w:hAnsi="Arial" w:cs="Arial"/>
                <w:sz w:val="22"/>
                <w:szCs w:val="22"/>
              </w:rPr>
            </w:pPr>
            <w:r w:rsidRPr="00495094">
              <w:rPr>
                <w:rFonts w:ascii="Arial" w:hAnsi="Arial" w:cs="Arial"/>
                <w:sz w:val="22"/>
                <w:szCs w:val="22"/>
              </w:rPr>
              <w:t>3,509,198</w:t>
            </w:r>
          </w:p>
        </w:tc>
      </w:tr>
      <w:tr w:rsidR="00495094" w:rsidRPr="00495094" w14:paraId="29788392" w14:textId="77777777" w:rsidTr="004738AB">
        <w:trPr>
          <w:trHeight w:val="20"/>
        </w:trPr>
        <w:tc>
          <w:tcPr>
            <w:tcW w:w="5263" w:type="dxa"/>
            <w:tcBorders>
              <w:top w:val="nil"/>
              <w:left w:val="nil"/>
              <w:bottom w:val="nil"/>
              <w:right w:val="nil"/>
            </w:tcBorders>
            <w:shd w:val="clear" w:color="auto" w:fill="auto"/>
            <w:vAlign w:val="center"/>
          </w:tcPr>
          <w:p w14:paraId="16571713" w14:textId="73EF9343" w:rsidR="00B87DB2" w:rsidRPr="00495094" w:rsidRDefault="00B87DB2" w:rsidP="00B87DB2">
            <w:pPr>
              <w:jc w:val="left"/>
              <w:rPr>
                <w:rFonts w:ascii="Arial" w:hAnsi="Arial" w:cs="Arial"/>
                <w:sz w:val="22"/>
                <w:szCs w:val="22"/>
              </w:rPr>
            </w:pPr>
            <w:r w:rsidRPr="00495094">
              <w:rPr>
                <w:rFonts w:ascii="Arial" w:hAnsi="Arial" w:cs="Arial"/>
                <w:sz w:val="22"/>
                <w:szCs w:val="22"/>
              </w:rPr>
              <w:t>Fees and commission</w:t>
            </w:r>
          </w:p>
        </w:tc>
        <w:tc>
          <w:tcPr>
            <w:tcW w:w="1633" w:type="dxa"/>
            <w:tcBorders>
              <w:top w:val="nil"/>
              <w:left w:val="nil"/>
              <w:bottom w:val="nil"/>
              <w:right w:val="nil"/>
            </w:tcBorders>
            <w:shd w:val="clear" w:color="auto" w:fill="auto"/>
            <w:vAlign w:val="center"/>
          </w:tcPr>
          <w:p w14:paraId="261CEB20" w14:textId="181DB99F" w:rsidR="00B87DB2" w:rsidRPr="00495094" w:rsidRDefault="00B52D2F" w:rsidP="00925E04">
            <w:pPr>
              <w:jc w:val="right"/>
              <w:rPr>
                <w:rFonts w:ascii="Arial" w:hAnsi="Arial" w:cs="Arial"/>
                <w:sz w:val="22"/>
                <w:szCs w:val="22"/>
              </w:rPr>
            </w:pPr>
            <w:r w:rsidRPr="00495094">
              <w:rPr>
                <w:rFonts w:ascii="Arial" w:hAnsi="Arial" w:cs="Arial"/>
                <w:sz w:val="22"/>
                <w:szCs w:val="22"/>
              </w:rPr>
              <w:t>2,</w:t>
            </w:r>
            <w:r w:rsidR="00925E04" w:rsidRPr="00495094">
              <w:rPr>
                <w:rFonts w:ascii="Arial" w:hAnsi="Arial" w:cs="Arial"/>
                <w:sz w:val="22"/>
                <w:szCs w:val="22"/>
              </w:rPr>
              <w:t>795</w:t>
            </w:r>
            <w:r w:rsidRPr="00495094">
              <w:rPr>
                <w:rFonts w:ascii="Arial" w:hAnsi="Arial" w:cs="Arial"/>
                <w:sz w:val="22"/>
                <w:szCs w:val="22"/>
              </w:rPr>
              <w:t>,8</w:t>
            </w:r>
            <w:r w:rsidR="00925E04" w:rsidRPr="00495094">
              <w:rPr>
                <w:rFonts w:ascii="Arial" w:hAnsi="Arial" w:cs="Arial"/>
                <w:sz w:val="22"/>
                <w:szCs w:val="22"/>
              </w:rPr>
              <w:t>53</w:t>
            </w:r>
          </w:p>
        </w:tc>
        <w:tc>
          <w:tcPr>
            <w:tcW w:w="1831" w:type="dxa"/>
            <w:tcBorders>
              <w:top w:val="nil"/>
              <w:left w:val="nil"/>
              <w:bottom w:val="nil"/>
              <w:right w:val="nil"/>
            </w:tcBorders>
            <w:shd w:val="clear" w:color="auto" w:fill="auto"/>
            <w:vAlign w:val="center"/>
          </w:tcPr>
          <w:p w14:paraId="3E74FF72" w14:textId="692A32E3" w:rsidR="00B87DB2" w:rsidRPr="00495094" w:rsidRDefault="00703D17" w:rsidP="00703D17">
            <w:pPr>
              <w:jc w:val="right"/>
              <w:rPr>
                <w:rFonts w:ascii="Arial" w:hAnsi="Arial" w:cs="Arial"/>
                <w:sz w:val="22"/>
                <w:szCs w:val="22"/>
              </w:rPr>
            </w:pPr>
            <w:r w:rsidRPr="00495094">
              <w:rPr>
                <w:rFonts w:ascii="Arial" w:hAnsi="Arial" w:cs="Arial"/>
                <w:sz w:val="22"/>
                <w:szCs w:val="22"/>
              </w:rPr>
              <w:t>974</w:t>
            </w:r>
            <w:r w:rsidR="004373A7" w:rsidRPr="00495094">
              <w:rPr>
                <w:rFonts w:ascii="Arial" w:hAnsi="Arial" w:cs="Arial"/>
                <w:sz w:val="22"/>
                <w:szCs w:val="22"/>
              </w:rPr>
              <w:t>,</w:t>
            </w:r>
            <w:r w:rsidRPr="00495094">
              <w:rPr>
                <w:rFonts w:ascii="Arial" w:hAnsi="Arial" w:cs="Arial"/>
                <w:sz w:val="22"/>
                <w:szCs w:val="22"/>
              </w:rPr>
              <w:t>201</w:t>
            </w:r>
          </w:p>
        </w:tc>
      </w:tr>
      <w:tr w:rsidR="00495094" w:rsidRPr="00495094" w14:paraId="25EA88E3" w14:textId="77777777" w:rsidTr="004738AB">
        <w:trPr>
          <w:trHeight w:val="20"/>
        </w:trPr>
        <w:tc>
          <w:tcPr>
            <w:tcW w:w="5263" w:type="dxa"/>
            <w:tcBorders>
              <w:top w:val="nil"/>
              <w:left w:val="nil"/>
              <w:bottom w:val="nil"/>
              <w:right w:val="nil"/>
            </w:tcBorders>
            <w:shd w:val="clear" w:color="auto" w:fill="auto"/>
            <w:vAlign w:val="center"/>
          </w:tcPr>
          <w:p w14:paraId="3F8C099F" w14:textId="43C3941B" w:rsidR="00B87DB2" w:rsidRPr="00495094" w:rsidRDefault="00B87DB2" w:rsidP="00B87DB2">
            <w:pPr>
              <w:jc w:val="left"/>
              <w:rPr>
                <w:rFonts w:ascii="Arial" w:hAnsi="Arial" w:cs="Arial"/>
                <w:sz w:val="22"/>
                <w:szCs w:val="22"/>
              </w:rPr>
            </w:pPr>
            <w:r w:rsidRPr="00495094">
              <w:rPr>
                <w:rFonts w:ascii="Arial" w:hAnsi="Arial" w:cs="Arial"/>
                <w:sz w:val="22"/>
                <w:szCs w:val="22"/>
              </w:rPr>
              <w:t>Postage, telephone, cable and telegram</w:t>
            </w:r>
          </w:p>
        </w:tc>
        <w:tc>
          <w:tcPr>
            <w:tcW w:w="1633" w:type="dxa"/>
            <w:tcBorders>
              <w:top w:val="nil"/>
              <w:left w:val="nil"/>
              <w:bottom w:val="nil"/>
              <w:right w:val="nil"/>
            </w:tcBorders>
            <w:shd w:val="clear" w:color="auto" w:fill="auto"/>
            <w:vAlign w:val="center"/>
          </w:tcPr>
          <w:p w14:paraId="7A59FB70" w14:textId="70A9131A" w:rsidR="00B87DB2" w:rsidRPr="00495094" w:rsidRDefault="00925E04" w:rsidP="00925E04">
            <w:pPr>
              <w:jc w:val="right"/>
              <w:rPr>
                <w:rFonts w:ascii="Arial" w:hAnsi="Arial" w:cs="Arial"/>
                <w:sz w:val="22"/>
                <w:szCs w:val="22"/>
              </w:rPr>
            </w:pPr>
            <w:r w:rsidRPr="00495094">
              <w:rPr>
                <w:rFonts w:ascii="Arial" w:hAnsi="Arial" w:cs="Arial"/>
                <w:sz w:val="22"/>
                <w:szCs w:val="22"/>
              </w:rPr>
              <w:t>2</w:t>
            </w:r>
            <w:r w:rsidR="00B52D2F" w:rsidRPr="00495094">
              <w:rPr>
                <w:rFonts w:ascii="Arial" w:hAnsi="Arial" w:cs="Arial"/>
                <w:sz w:val="22"/>
                <w:szCs w:val="22"/>
              </w:rPr>
              <w:t>,</w:t>
            </w:r>
            <w:r w:rsidRPr="00495094">
              <w:rPr>
                <w:rFonts w:ascii="Arial" w:hAnsi="Arial" w:cs="Arial"/>
                <w:sz w:val="22"/>
                <w:szCs w:val="22"/>
              </w:rPr>
              <w:t>9</w:t>
            </w:r>
            <w:r w:rsidR="00B52D2F" w:rsidRPr="00495094">
              <w:rPr>
                <w:rFonts w:ascii="Arial" w:hAnsi="Arial" w:cs="Arial"/>
                <w:sz w:val="22"/>
                <w:szCs w:val="22"/>
              </w:rPr>
              <w:t>1</w:t>
            </w:r>
            <w:r w:rsidRPr="00495094">
              <w:rPr>
                <w:rFonts w:ascii="Arial" w:hAnsi="Arial" w:cs="Arial"/>
                <w:sz w:val="22"/>
                <w:szCs w:val="22"/>
              </w:rPr>
              <w:t>4</w:t>
            </w:r>
            <w:r w:rsidR="00B52D2F" w:rsidRPr="00495094">
              <w:rPr>
                <w:rFonts w:ascii="Arial" w:hAnsi="Arial" w:cs="Arial"/>
                <w:sz w:val="22"/>
                <w:szCs w:val="22"/>
              </w:rPr>
              <w:t>,</w:t>
            </w:r>
            <w:r w:rsidRPr="00495094">
              <w:rPr>
                <w:rFonts w:ascii="Arial" w:hAnsi="Arial" w:cs="Arial"/>
                <w:sz w:val="22"/>
                <w:szCs w:val="22"/>
              </w:rPr>
              <w:t>4</w:t>
            </w:r>
            <w:r w:rsidR="00B52D2F" w:rsidRPr="00495094">
              <w:rPr>
                <w:rFonts w:ascii="Arial" w:hAnsi="Arial" w:cs="Arial"/>
                <w:sz w:val="22"/>
                <w:szCs w:val="22"/>
              </w:rPr>
              <w:t>7</w:t>
            </w:r>
            <w:r w:rsidRPr="00495094">
              <w:rPr>
                <w:rFonts w:ascii="Arial" w:hAnsi="Arial" w:cs="Arial"/>
                <w:sz w:val="22"/>
                <w:szCs w:val="22"/>
              </w:rPr>
              <w:t>4</w:t>
            </w:r>
          </w:p>
        </w:tc>
        <w:tc>
          <w:tcPr>
            <w:tcW w:w="1831" w:type="dxa"/>
            <w:tcBorders>
              <w:top w:val="nil"/>
              <w:left w:val="nil"/>
              <w:bottom w:val="nil"/>
              <w:right w:val="nil"/>
            </w:tcBorders>
            <w:shd w:val="clear" w:color="auto" w:fill="auto"/>
            <w:vAlign w:val="center"/>
          </w:tcPr>
          <w:p w14:paraId="6910005B" w14:textId="513D572A" w:rsidR="00B87DB2" w:rsidRPr="00495094" w:rsidRDefault="00703D17" w:rsidP="00703D17">
            <w:pPr>
              <w:jc w:val="right"/>
              <w:rPr>
                <w:rFonts w:ascii="Arial" w:hAnsi="Arial" w:cs="Arial"/>
                <w:sz w:val="22"/>
                <w:szCs w:val="22"/>
              </w:rPr>
            </w:pPr>
            <w:r w:rsidRPr="00495094">
              <w:rPr>
                <w:rFonts w:ascii="Arial" w:hAnsi="Arial" w:cs="Arial"/>
                <w:sz w:val="22"/>
                <w:szCs w:val="22"/>
              </w:rPr>
              <w:t>513</w:t>
            </w:r>
            <w:r w:rsidR="004373A7" w:rsidRPr="00495094">
              <w:rPr>
                <w:rFonts w:ascii="Arial" w:hAnsi="Arial" w:cs="Arial"/>
                <w:sz w:val="22"/>
                <w:szCs w:val="22"/>
              </w:rPr>
              <w:t>,</w:t>
            </w:r>
            <w:r w:rsidRPr="00495094">
              <w:rPr>
                <w:rFonts w:ascii="Arial" w:hAnsi="Arial" w:cs="Arial"/>
                <w:sz w:val="22"/>
                <w:szCs w:val="22"/>
              </w:rPr>
              <w:t>505</w:t>
            </w:r>
          </w:p>
        </w:tc>
      </w:tr>
      <w:tr w:rsidR="00495094" w:rsidRPr="00495094" w14:paraId="305F9082" w14:textId="77777777" w:rsidTr="004738AB">
        <w:trPr>
          <w:trHeight w:val="20"/>
        </w:trPr>
        <w:tc>
          <w:tcPr>
            <w:tcW w:w="5263" w:type="dxa"/>
            <w:tcBorders>
              <w:top w:val="nil"/>
              <w:left w:val="nil"/>
              <w:bottom w:val="nil"/>
              <w:right w:val="nil"/>
            </w:tcBorders>
            <w:shd w:val="clear" w:color="auto" w:fill="auto"/>
            <w:vAlign w:val="center"/>
          </w:tcPr>
          <w:p w14:paraId="664A70D6"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Representation &amp; entertainment</w:t>
            </w:r>
          </w:p>
        </w:tc>
        <w:tc>
          <w:tcPr>
            <w:tcW w:w="1633" w:type="dxa"/>
            <w:tcBorders>
              <w:top w:val="nil"/>
              <w:left w:val="nil"/>
              <w:bottom w:val="nil"/>
              <w:right w:val="nil"/>
            </w:tcBorders>
            <w:shd w:val="clear" w:color="auto" w:fill="auto"/>
            <w:vAlign w:val="center"/>
          </w:tcPr>
          <w:p w14:paraId="50D7C025" w14:textId="698589D4" w:rsidR="00B87DB2" w:rsidRPr="00495094" w:rsidRDefault="00B52D2F" w:rsidP="00B87DB2">
            <w:pPr>
              <w:jc w:val="right"/>
              <w:rPr>
                <w:rFonts w:ascii="Arial" w:hAnsi="Arial" w:cs="Arial"/>
                <w:sz w:val="22"/>
                <w:szCs w:val="22"/>
              </w:rPr>
            </w:pPr>
            <w:r w:rsidRPr="00495094">
              <w:rPr>
                <w:rFonts w:ascii="Arial" w:hAnsi="Arial" w:cs="Arial"/>
                <w:sz w:val="22"/>
                <w:szCs w:val="22"/>
              </w:rPr>
              <w:t>454,835</w:t>
            </w:r>
          </w:p>
        </w:tc>
        <w:tc>
          <w:tcPr>
            <w:tcW w:w="1831" w:type="dxa"/>
            <w:tcBorders>
              <w:top w:val="nil"/>
              <w:left w:val="nil"/>
              <w:bottom w:val="nil"/>
              <w:right w:val="nil"/>
            </w:tcBorders>
            <w:shd w:val="clear" w:color="auto" w:fill="auto"/>
            <w:vAlign w:val="center"/>
          </w:tcPr>
          <w:p w14:paraId="7FF335B0" w14:textId="1769B53B" w:rsidR="00B87DB2" w:rsidRPr="00495094" w:rsidRDefault="004373A7" w:rsidP="00B87DB2">
            <w:pPr>
              <w:jc w:val="right"/>
              <w:rPr>
                <w:rFonts w:ascii="Arial" w:hAnsi="Arial" w:cs="Arial"/>
                <w:sz w:val="22"/>
                <w:szCs w:val="22"/>
              </w:rPr>
            </w:pPr>
            <w:r w:rsidRPr="00495094">
              <w:rPr>
                <w:rFonts w:ascii="Arial" w:hAnsi="Arial" w:cs="Arial"/>
                <w:sz w:val="22"/>
                <w:szCs w:val="22"/>
              </w:rPr>
              <w:t>342,673</w:t>
            </w:r>
          </w:p>
        </w:tc>
      </w:tr>
      <w:tr w:rsidR="00495094" w:rsidRPr="00495094" w14:paraId="3EBC97C5" w14:textId="77777777" w:rsidTr="004738AB">
        <w:trPr>
          <w:trHeight w:val="20"/>
        </w:trPr>
        <w:tc>
          <w:tcPr>
            <w:tcW w:w="5263" w:type="dxa"/>
            <w:tcBorders>
              <w:top w:val="nil"/>
              <w:left w:val="nil"/>
              <w:bottom w:val="nil"/>
              <w:right w:val="nil"/>
            </w:tcBorders>
            <w:shd w:val="clear" w:color="auto" w:fill="auto"/>
            <w:vAlign w:val="center"/>
          </w:tcPr>
          <w:p w14:paraId="29749FDF" w14:textId="239E8C84" w:rsidR="00B87DB2" w:rsidRPr="00495094" w:rsidRDefault="00B87DB2" w:rsidP="00B87DB2">
            <w:pPr>
              <w:jc w:val="left"/>
              <w:rPr>
                <w:rFonts w:ascii="Arial" w:hAnsi="Arial" w:cs="Arial"/>
                <w:sz w:val="22"/>
                <w:szCs w:val="22"/>
              </w:rPr>
            </w:pPr>
            <w:r w:rsidRPr="00495094">
              <w:rPr>
                <w:rFonts w:ascii="Arial" w:hAnsi="Arial" w:cs="Arial"/>
                <w:sz w:val="22"/>
                <w:szCs w:val="22"/>
              </w:rPr>
              <w:lastRenderedPageBreak/>
              <w:t>Fuel and lubricants</w:t>
            </w:r>
          </w:p>
        </w:tc>
        <w:tc>
          <w:tcPr>
            <w:tcW w:w="1633" w:type="dxa"/>
            <w:tcBorders>
              <w:top w:val="nil"/>
              <w:left w:val="nil"/>
              <w:bottom w:val="nil"/>
              <w:right w:val="nil"/>
            </w:tcBorders>
            <w:shd w:val="clear" w:color="auto" w:fill="auto"/>
            <w:vAlign w:val="center"/>
          </w:tcPr>
          <w:p w14:paraId="7A25E681" w14:textId="0A5FD25D" w:rsidR="00B87DB2" w:rsidRPr="00495094" w:rsidRDefault="00925E04" w:rsidP="00925E04">
            <w:pPr>
              <w:jc w:val="right"/>
              <w:rPr>
                <w:rFonts w:ascii="Arial" w:hAnsi="Arial" w:cs="Arial"/>
                <w:sz w:val="22"/>
                <w:szCs w:val="22"/>
              </w:rPr>
            </w:pPr>
            <w:r w:rsidRPr="00495094">
              <w:rPr>
                <w:rFonts w:ascii="Arial" w:hAnsi="Arial" w:cs="Arial"/>
                <w:sz w:val="22"/>
                <w:szCs w:val="22"/>
              </w:rPr>
              <w:t>3</w:t>
            </w:r>
            <w:r w:rsidR="00B52D2F" w:rsidRPr="00495094">
              <w:rPr>
                <w:rFonts w:ascii="Arial" w:hAnsi="Arial" w:cs="Arial"/>
                <w:sz w:val="22"/>
                <w:szCs w:val="22"/>
              </w:rPr>
              <w:t>2</w:t>
            </w:r>
            <w:r w:rsidRPr="00495094">
              <w:rPr>
                <w:rFonts w:ascii="Arial" w:hAnsi="Arial" w:cs="Arial"/>
                <w:sz w:val="22"/>
                <w:szCs w:val="22"/>
              </w:rPr>
              <w:t>4</w:t>
            </w:r>
            <w:r w:rsidR="00B52D2F" w:rsidRPr="00495094">
              <w:rPr>
                <w:rFonts w:ascii="Arial" w:hAnsi="Arial" w:cs="Arial"/>
                <w:sz w:val="22"/>
                <w:szCs w:val="22"/>
              </w:rPr>
              <w:t>,</w:t>
            </w:r>
            <w:r w:rsidRPr="00495094">
              <w:rPr>
                <w:rFonts w:ascii="Arial" w:hAnsi="Arial" w:cs="Arial"/>
                <w:sz w:val="22"/>
                <w:szCs w:val="22"/>
              </w:rPr>
              <w:t>686</w:t>
            </w:r>
          </w:p>
        </w:tc>
        <w:tc>
          <w:tcPr>
            <w:tcW w:w="1831" w:type="dxa"/>
            <w:tcBorders>
              <w:top w:val="nil"/>
              <w:left w:val="nil"/>
              <w:bottom w:val="nil"/>
              <w:right w:val="nil"/>
            </w:tcBorders>
            <w:shd w:val="clear" w:color="auto" w:fill="auto"/>
            <w:vAlign w:val="center"/>
          </w:tcPr>
          <w:p w14:paraId="1B08E16B" w14:textId="3471EA29" w:rsidR="00B87DB2" w:rsidRPr="00495094" w:rsidRDefault="00B87DB2" w:rsidP="004373A7">
            <w:pPr>
              <w:jc w:val="right"/>
              <w:rPr>
                <w:rFonts w:ascii="Arial" w:hAnsi="Arial" w:cs="Arial"/>
                <w:sz w:val="22"/>
                <w:szCs w:val="22"/>
              </w:rPr>
            </w:pPr>
            <w:r w:rsidRPr="00495094">
              <w:rPr>
                <w:rFonts w:ascii="Arial" w:hAnsi="Arial" w:cs="Arial"/>
                <w:sz w:val="22"/>
                <w:szCs w:val="22"/>
              </w:rPr>
              <w:t>2</w:t>
            </w:r>
            <w:r w:rsidR="004373A7" w:rsidRPr="00495094">
              <w:rPr>
                <w:rFonts w:ascii="Arial" w:hAnsi="Arial" w:cs="Arial"/>
                <w:sz w:val="22"/>
                <w:szCs w:val="22"/>
              </w:rPr>
              <w:t>58,003</w:t>
            </w:r>
          </w:p>
        </w:tc>
      </w:tr>
      <w:tr w:rsidR="00495094" w:rsidRPr="00495094" w14:paraId="09F60718" w14:textId="77777777" w:rsidTr="004738AB">
        <w:trPr>
          <w:trHeight w:val="20"/>
        </w:trPr>
        <w:tc>
          <w:tcPr>
            <w:tcW w:w="5263" w:type="dxa"/>
            <w:tcBorders>
              <w:top w:val="nil"/>
              <w:left w:val="nil"/>
              <w:bottom w:val="nil"/>
              <w:right w:val="nil"/>
            </w:tcBorders>
            <w:shd w:val="clear" w:color="auto" w:fill="auto"/>
            <w:vAlign w:val="center"/>
          </w:tcPr>
          <w:p w14:paraId="3BD68D4A" w14:textId="43B562EF" w:rsidR="00B87DB2" w:rsidRPr="00495094" w:rsidRDefault="00B87DB2" w:rsidP="00B87DB2">
            <w:pPr>
              <w:jc w:val="left"/>
              <w:rPr>
                <w:rFonts w:ascii="Arial" w:hAnsi="Arial" w:cs="Arial"/>
                <w:sz w:val="22"/>
                <w:szCs w:val="22"/>
              </w:rPr>
            </w:pPr>
            <w:r w:rsidRPr="00495094">
              <w:rPr>
                <w:rFonts w:ascii="Arial" w:hAnsi="Arial" w:cs="Arial"/>
                <w:sz w:val="22"/>
                <w:szCs w:val="22"/>
              </w:rPr>
              <w:t>Membership fees and dues</w:t>
            </w:r>
          </w:p>
        </w:tc>
        <w:tc>
          <w:tcPr>
            <w:tcW w:w="1633" w:type="dxa"/>
            <w:tcBorders>
              <w:top w:val="nil"/>
              <w:left w:val="nil"/>
              <w:bottom w:val="nil"/>
              <w:right w:val="nil"/>
            </w:tcBorders>
            <w:shd w:val="clear" w:color="auto" w:fill="auto"/>
            <w:vAlign w:val="center"/>
          </w:tcPr>
          <w:p w14:paraId="30F719FD" w14:textId="5418B8F2" w:rsidR="00B87DB2" w:rsidRPr="00495094" w:rsidRDefault="00B52D2F" w:rsidP="00B87DB2">
            <w:pPr>
              <w:jc w:val="right"/>
              <w:rPr>
                <w:rFonts w:ascii="Arial" w:hAnsi="Arial" w:cs="Arial"/>
                <w:sz w:val="22"/>
                <w:szCs w:val="22"/>
              </w:rPr>
            </w:pPr>
            <w:r w:rsidRPr="00495094">
              <w:rPr>
                <w:rFonts w:ascii="Arial" w:hAnsi="Arial" w:cs="Arial"/>
                <w:sz w:val="22"/>
                <w:szCs w:val="22"/>
              </w:rPr>
              <w:t>244,234</w:t>
            </w:r>
          </w:p>
        </w:tc>
        <w:tc>
          <w:tcPr>
            <w:tcW w:w="1831" w:type="dxa"/>
            <w:tcBorders>
              <w:top w:val="nil"/>
              <w:left w:val="nil"/>
              <w:bottom w:val="nil"/>
              <w:right w:val="nil"/>
            </w:tcBorders>
            <w:shd w:val="clear" w:color="auto" w:fill="auto"/>
            <w:vAlign w:val="center"/>
          </w:tcPr>
          <w:p w14:paraId="12ACCB0A" w14:textId="2DD7C706" w:rsidR="00B87DB2" w:rsidRPr="00495094" w:rsidRDefault="00B52D2F" w:rsidP="00B87DB2">
            <w:pPr>
              <w:jc w:val="right"/>
              <w:rPr>
                <w:rFonts w:ascii="Arial" w:hAnsi="Arial" w:cs="Arial"/>
                <w:sz w:val="22"/>
                <w:szCs w:val="22"/>
              </w:rPr>
            </w:pPr>
            <w:r w:rsidRPr="00495094">
              <w:rPr>
                <w:rFonts w:ascii="Arial" w:hAnsi="Arial" w:cs="Arial"/>
                <w:sz w:val="22"/>
                <w:szCs w:val="22"/>
              </w:rPr>
              <w:t>160,380</w:t>
            </w:r>
          </w:p>
        </w:tc>
      </w:tr>
      <w:tr w:rsidR="00495094" w:rsidRPr="00495094" w14:paraId="321ED731" w14:textId="77777777" w:rsidTr="004738AB">
        <w:trPr>
          <w:trHeight w:val="20"/>
        </w:trPr>
        <w:tc>
          <w:tcPr>
            <w:tcW w:w="5263" w:type="dxa"/>
            <w:tcBorders>
              <w:top w:val="nil"/>
              <w:left w:val="nil"/>
              <w:bottom w:val="nil"/>
              <w:right w:val="nil"/>
            </w:tcBorders>
            <w:shd w:val="clear" w:color="auto" w:fill="auto"/>
            <w:vAlign w:val="center"/>
          </w:tcPr>
          <w:p w14:paraId="2BC79D40" w14:textId="729F690B" w:rsidR="00B87DB2" w:rsidRPr="00495094" w:rsidRDefault="00B87DB2" w:rsidP="00B87DB2">
            <w:pPr>
              <w:jc w:val="left"/>
              <w:rPr>
                <w:rFonts w:ascii="Arial" w:hAnsi="Arial" w:cs="Arial"/>
                <w:sz w:val="22"/>
                <w:szCs w:val="22"/>
              </w:rPr>
            </w:pPr>
            <w:r w:rsidRPr="00495094">
              <w:rPr>
                <w:rFonts w:ascii="Arial" w:hAnsi="Arial" w:cs="Arial"/>
                <w:sz w:val="22"/>
                <w:szCs w:val="22"/>
              </w:rPr>
              <w:t>Repairs and maintenance</w:t>
            </w:r>
          </w:p>
        </w:tc>
        <w:tc>
          <w:tcPr>
            <w:tcW w:w="1633" w:type="dxa"/>
            <w:tcBorders>
              <w:top w:val="nil"/>
              <w:left w:val="nil"/>
              <w:bottom w:val="nil"/>
              <w:right w:val="nil"/>
            </w:tcBorders>
            <w:shd w:val="clear" w:color="auto" w:fill="auto"/>
            <w:vAlign w:val="center"/>
          </w:tcPr>
          <w:p w14:paraId="23E868C8" w14:textId="1F7C1550" w:rsidR="00B87DB2" w:rsidRPr="00495094" w:rsidRDefault="00B52D2F" w:rsidP="00B87DB2">
            <w:pPr>
              <w:jc w:val="right"/>
              <w:rPr>
                <w:rFonts w:ascii="Arial" w:hAnsi="Arial" w:cs="Arial"/>
                <w:sz w:val="22"/>
                <w:szCs w:val="22"/>
              </w:rPr>
            </w:pPr>
            <w:r w:rsidRPr="00495094">
              <w:rPr>
                <w:rFonts w:ascii="Arial" w:hAnsi="Arial" w:cs="Arial"/>
                <w:sz w:val="22"/>
                <w:szCs w:val="22"/>
              </w:rPr>
              <w:t>132,931</w:t>
            </w:r>
          </w:p>
        </w:tc>
        <w:tc>
          <w:tcPr>
            <w:tcW w:w="1831" w:type="dxa"/>
            <w:tcBorders>
              <w:top w:val="nil"/>
              <w:left w:val="nil"/>
              <w:bottom w:val="nil"/>
              <w:right w:val="nil"/>
            </w:tcBorders>
            <w:shd w:val="clear" w:color="auto" w:fill="auto"/>
            <w:vAlign w:val="center"/>
          </w:tcPr>
          <w:p w14:paraId="260893E7" w14:textId="12081D65" w:rsidR="00B87DB2" w:rsidRPr="00495094" w:rsidRDefault="00B52D2F" w:rsidP="00B87DB2">
            <w:pPr>
              <w:jc w:val="right"/>
              <w:rPr>
                <w:rFonts w:ascii="Arial" w:hAnsi="Arial" w:cs="Arial"/>
                <w:sz w:val="22"/>
                <w:szCs w:val="22"/>
              </w:rPr>
            </w:pPr>
            <w:r w:rsidRPr="00495094">
              <w:rPr>
                <w:rFonts w:ascii="Arial" w:hAnsi="Arial" w:cs="Arial"/>
                <w:sz w:val="22"/>
                <w:szCs w:val="22"/>
              </w:rPr>
              <w:t>137,730</w:t>
            </w:r>
          </w:p>
        </w:tc>
      </w:tr>
      <w:tr w:rsidR="00495094" w:rsidRPr="00495094" w14:paraId="41361908" w14:textId="77777777" w:rsidTr="004738AB">
        <w:trPr>
          <w:trHeight w:val="20"/>
        </w:trPr>
        <w:tc>
          <w:tcPr>
            <w:tcW w:w="5263" w:type="dxa"/>
            <w:tcBorders>
              <w:top w:val="nil"/>
              <w:left w:val="nil"/>
              <w:bottom w:val="nil"/>
              <w:right w:val="nil"/>
            </w:tcBorders>
            <w:shd w:val="clear" w:color="auto" w:fill="auto"/>
            <w:vAlign w:val="center"/>
          </w:tcPr>
          <w:p w14:paraId="631747B6"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Travelling expense</w:t>
            </w:r>
          </w:p>
        </w:tc>
        <w:tc>
          <w:tcPr>
            <w:tcW w:w="1633" w:type="dxa"/>
            <w:tcBorders>
              <w:top w:val="nil"/>
              <w:left w:val="nil"/>
              <w:bottom w:val="nil"/>
              <w:right w:val="nil"/>
            </w:tcBorders>
            <w:shd w:val="clear" w:color="auto" w:fill="auto"/>
            <w:vAlign w:val="center"/>
          </w:tcPr>
          <w:p w14:paraId="0F270316" w14:textId="20C22858" w:rsidR="00B87DB2" w:rsidRPr="00495094" w:rsidRDefault="00925E04" w:rsidP="00925E04">
            <w:pPr>
              <w:jc w:val="right"/>
              <w:rPr>
                <w:rFonts w:ascii="Arial" w:hAnsi="Arial" w:cs="Arial"/>
                <w:sz w:val="22"/>
                <w:szCs w:val="22"/>
              </w:rPr>
            </w:pPr>
            <w:r w:rsidRPr="00495094">
              <w:rPr>
                <w:rFonts w:ascii="Arial" w:hAnsi="Arial" w:cs="Arial"/>
                <w:sz w:val="22"/>
                <w:szCs w:val="22"/>
              </w:rPr>
              <w:t>73</w:t>
            </w:r>
            <w:r w:rsidR="00E57719" w:rsidRPr="00495094">
              <w:rPr>
                <w:rFonts w:ascii="Arial" w:hAnsi="Arial" w:cs="Arial"/>
                <w:sz w:val="22"/>
                <w:szCs w:val="22"/>
              </w:rPr>
              <w:t>2,</w:t>
            </w:r>
            <w:r w:rsidRPr="00495094">
              <w:rPr>
                <w:rFonts w:ascii="Arial" w:hAnsi="Arial" w:cs="Arial"/>
                <w:sz w:val="22"/>
                <w:szCs w:val="22"/>
              </w:rPr>
              <w:t>112</w:t>
            </w:r>
          </w:p>
        </w:tc>
        <w:tc>
          <w:tcPr>
            <w:tcW w:w="1831" w:type="dxa"/>
            <w:tcBorders>
              <w:top w:val="nil"/>
              <w:left w:val="nil"/>
              <w:bottom w:val="nil"/>
              <w:right w:val="nil"/>
            </w:tcBorders>
            <w:shd w:val="clear" w:color="auto" w:fill="auto"/>
            <w:vAlign w:val="center"/>
          </w:tcPr>
          <w:p w14:paraId="66AE2108" w14:textId="292EB500" w:rsidR="00B87DB2" w:rsidRPr="00495094" w:rsidRDefault="00703D17" w:rsidP="00703D17">
            <w:pPr>
              <w:jc w:val="right"/>
              <w:rPr>
                <w:rFonts w:ascii="Arial" w:hAnsi="Arial" w:cs="Arial"/>
                <w:sz w:val="22"/>
                <w:szCs w:val="22"/>
              </w:rPr>
            </w:pPr>
            <w:r w:rsidRPr="00495094">
              <w:rPr>
                <w:rFonts w:ascii="Arial" w:hAnsi="Arial" w:cs="Arial"/>
                <w:sz w:val="22"/>
                <w:szCs w:val="22"/>
              </w:rPr>
              <w:t>738,75</w:t>
            </w:r>
            <w:r w:rsidR="00B52D2F" w:rsidRPr="00495094">
              <w:rPr>
                <w:rFonts w:ascii="Arial" w:hAnsi="Arial" w:cs="Arial"/>
                <w:sz w:val="22"/>
                <w:szCs w:val="22"/>
              </w:rPr>
              <w:t>4</w:t>
            </w:r>
          </w:p>
        </w:tc>
      </w:tr>
      <w:tr w:rsidR="00495094" w:rsidRPr="00495094" w14:paraId="655DC028" w14:textId="77777777" w:rsidTr="004738AB">
        <w:trPr>
          <w:trHeight w:val="20"/>
        </w:trPr>
        <w:tc>
          <w:tcPr>
            <w:tcW w:w="5263" w:type="dxa"/>
            <w:tcBorders>
              <w:top w:val="nil"/>
              <w:left w:val="nil"/>
              <w:bottom w:val="single" w:sz="4" w:space="0" w:color="auto"/>
              <w:right w:val="nil"/>
            </w:tcBorders>
            <w:shd w:val="clear" w:color="auto" w:fill="auto"/>
            <w:vAlign w:val="center"/>
          </w:tcPr>
          <w:p w14:paraId="2A71D651" w14:textId="77777777" w:rsidR="00B87DB2" w:rsidRPr="00495094" w:rsidRDefault="00B87DB2" w:rsidP="00B87DB2">
            <w:pPr>
              <w:jc w:val="left"/>
              <w:rPr>
                <w:rFonts w:ascii="Arial" w:hAnsi="Arial" w:cs="Arial"/>
                <w:sz w:val="22"/>
                <w:szCs w:val="22"/>
              </w:rPr>
            </w:pPr>
            <w:r w:rsidRPr="00495094">
              <w:rPr>
                <w:rFonts w:ascii="Arial" w:hAnsi="Arial" w:cs="Arial"/>
                <w:sz w:val="22"/>
                <w:szCs w:val="22"/>
              </w:rPr>
              <w:t>Other expenses</w:t>
            </w:r>
          </w:p>
        </w:tc>
        <w:tc>
          <w:tcPr>
            <w:tcW w:w="1633" w:type="dxa"/>
            <w:tcBorders>
              <w:top w:val="nil"/>
              <w:left w:val="nil"/>
              <w:bottom w:val="single" w:sz="4" w:space="0" w:color="auto"/>
              <w:right w:val="nil"/>
            </w:tcBorders>
            <w:shd w:val="clear" w:color="auto" w:fill="auto"/>
            <w:vAlign w:val="center"/>
          </w:tcPr>
          <w:p w14:paraId="6C37ABAD" w14:textId="11E7C170" w:rsidR="00B87DB2" w:rsidRPr="00495094" w:rsidRDefault="00FF21CB" w:rsidP="00B87DB2">
            <w:pPr>
              <w:jc w:val="right"/>
              <w:rPr>
                <w:rFonts w:ascii="Arial" w:hAnsi="Arial" w:cs="Arial"/>
                <w:sz w:val="22"/>
                <w:szCs w:val="22"/>
              </w:rPr>
            </w:pPr>
            <w:r w:rsidRPr="00495094">
              <w:rPr>
                <w:rFonts w:ascii="Arial" w:hAnsi="Arial" w:cs="Arial"/>
                <w:sz w:val="22"/>
                <w:szCs w:val="22"/>
              </w:rPr>
              <w:t>265,474</w:t>
            </w:r>
          </w:p>
        </w:tc>
        <w:tc>
          <w:tcPr>
            <w:tcW w:w="1831" w:type="dxa"/>
            <w:tcBorders>
              <w:top w:val="nil"/>
              <w:left w:val="nil"/>
              <w:bottom w:val="single" w:sz="4" w:space="0" w:color="auto"/>
              <w:right w:val="nil"/>
            </w:tcBorders>
            <w:shd w:val="clear" w:color="auto" w:fill="auto"/>
            <w:vAlign w:val="center"/>
          </w:tcPr>
          <w:p w14:paraId="2EC20C47" w14:textId="223E4326" w:rsidR="00B87DB2" w:rsidRPr="00495094" w:rsidRDefault="00B52D2F" w:rsidP="00B87DB2">
            <w:pPr>
              <w:jc w:val="right"/>
              <w:rPr>
                <w:rFonts w:ascii="Arial" w:hAnsi="Arial" w:cs="Arial"/>
                <w:sz w:val="22"/>
                <w:szCs w:val="22"/>
              </w:rPr>
            </w:pPr>
            <w:r w:rsidRPr="00495094">
              <w:rPr>
                <w:rFonts w:ascii="Arial" w:hAnsi="Arial" w:cs="Arial"/>
                <w:sz w:val="22"/>
                <w:szCs w:val="22"/>
              </w:rPr>
              <w:t>227,427</w:t>
            </w:r>
          </w:p>
        </w:tc>
      </w:tr>
      <w:tr w:rsidR="00495094" w:rsidRPr="00495094" w14:paraId="0C252080" w14:textId="77777777" w:rsidTr="004738AB">
        <w:trPr>
          <w:trHeight w:val="20"/>
        </w:trPr>
        <w:tc>
          <w:tcPr>
            <w:tcW w:w="5263" w:type="dxa"/>
            <w:tcBorders>
              <w:top w:val="single" w:sz="4" w:space="0" w:color="auto"/>
              <w:left w:val="nil"/>
              <w:bottom w:val="double" w:sz="4" w:space="0" w:color="auto"/>
              <w:right w:val="nil"/>
            </w:tcBorders>
            <w:shd w:val="clear" w:color="auto" w:fill="auto"/>
            <w:vAlign w:val="center"/>
          </w:tcPr>
          <w:p w14:paraId="58A1997E" w14:textId="77777777" w:rsidR="00B87DB2" w:rsidRPr="00495094" w:rsidRDefault="00B87DB2" w:rsidP="00B87DB2">
            <w:pPr>
              <w:rPr>
                <w:rFonts w:ascii="Arial" w:hAnsi="Arial" w:cs="Arial"/>
                <w:sz w:val="22"/>
                <w:szCs w:val="22"/>
              </w:rPr>
            </w:pPr>
            <w:r w:rsidRPr="00495094">
              <w:rPr>
                <w:rFonts w:ascii="Arial" w:hAnsi="Arial" w:cs="Arial"/>
                <w:sz w:val="22"/>
                <w:szCs w:val="22"/>
              </w:rPr>
              <w:t> </w:t>
            </w:r>
          </w:p>
        </w:tc>
        <w:tc>
          <w:tcPr>
            <w:tcW w:w="1633" w:type="dxa"/>
            <w:tcBorders>
              <w:top w:val="single" w:sz="4" w:space="0" w:color="auto"/>
              <w:left w:val="nil"/>
              <w:bottom w:val="double" w:sz="4" w:space="0" w:color="auto"/>
              <w:right w:val="nil"/>
            </w:tcBorders>
            <w:shd w:val="clear" w:color="auto" w:fill="auto"/>
            <w:vAlign w:val="center"/>
          </w:tcPr>
          <w:p w14:paraId="4A8A643E" w14:textId="6AFEDC17" w:rsidR="00B87DB2" w:rsidRPr="00495094" w:rsidRDefault="00925E04" w:rsidP="00372068">
            <w:pPr>
              <w:jc w:val="right"/>
              <w:rPr>
                <w:rFonts w:ascii="Arial" w:hAnsi="Arial" w:cs="Arial"/>
                <w:bCs/>
                <w:sz w:val="22"/>
                <w:szCs w:val="22"/>
              </w:rPr>
            </w:pPr>
            <w:r w:rsidRPr="00495094">
              <w:rPr>
                <w:rFonts w:ascii="Arial" w:hAnsi="Arial" w:cs="Arial"/>
                <w:bCs/>
                <w:sz w:val="22"/>
                <w:szCs w:val="22"/>
              </w:rPr>
              <w:t>89</w:t>
            </w:r>
            <w:r w:rsidR="00E57719" w:rsidRPr="00495094">
              <w:rPr>
                <w:rFonts w:ascii="Arial" w:hAnsi="Arial" w:cs="Arial"/>
                <w:bCs/>
                <w:sz w:val="22"/>
                <w:szCs w:val="22"/>
              </w:rPr>
              <w:t>,</w:t>
            </w:r>
            <w:r w:rsidR="00372068" w:rsidRPr="00495094">
              <w:rPr>
                <w:rFonts w:ascii="Arial" w:hAnsi="Arial" w:cs="Arial"/>
                <w:bCs/>
                <w:sz w:val="22"/>
                <w:szCs w:val="22"/>
              </w:rPr>
              <w:t>027</w:t>
            </w:r>
            <w:r w:rsidR="00E57719" w:rsidRPr="00495094">
              <w:rPr>
                <w:rFonts w:ascii="Arial" w:hAnsi="Arial" w:cs="Arial"/>
                <w:bCs/>
                <w:sz w:val="22"/>
                <w:szCs w:val="22"/>
              </w:rPr>
              <w:t>,</w:t>
            </w:r>
            <w:r w:rsidR="00372068" w:rsidRPr="00495094">
              <w:rPr>
                <w:rFonts w:ascii="Arial" w:hAnsi="Arial" w:cs="Arial"/>
                <w:bCs/>
                <w:sz w:val="22"/>
                <w:szCs w:val="22"/>
              </w:rPr>
              <w:t>878</w:t>
            </w:r>
          </w:p>
        </w:tc>
        <w:tc>
          <w:tcPr>
            <w:tcW w:w="1831" w:type="dxa"/>
            <w:tcBorders>
              <w:top w:val="single" w:sz="4" w:space="0" w:color="auto"/>
              <w:left w:val="nil"/>
              <w:bottom w:val="double" w:sz="4" w:space="0" w:color="auto"/>
              <w:right w:val="nil"/>
            </w:tcBorders>
            <w:shd w:val="clear" w:color="auto" w:fill="auto"/>
            <w:vAlign w:val="center"/>
          </w:tcPr>
          <w:p w14:paraId="3A3486D3" w14:textId="14F863F2" w:rsidR="00B87DB2" w:rsidRPr="00495094" w:rsidRDefault="00703D17">
            <w:pPr>
              <w:jc w:val="right"/>
              <w:rPr>
                <w:rFonts w:ascii="Arial" w:hAnsi="Arial" w:cs="Arial"/>
                <w:bCs/>
                <w:sz w:val="22"/>
                <w:szCs w:val="22"/>
              </w:rPr>
            </w:pPr>
            <w:r w:rsidRPr="00495094">
              <w:rPr>
                <w:rFonts w:ascii="Arial" w:hAnsi="Arial" w:cs="Arial"/>
                <w:bCs/>
                <w:sz w:val="22"/>
                <w:szCs w:val="22"/>
              </w:rPr>
              <w:t>9</w:t>
            </w:r>
            <w:r w:rsidR="00FE664F" w:rsidRPr="00495094">
              <w:rPr>
                <w:rFonts w:ascii="Arial" w:hAnsi="Arial" w:cs="Arial"/>
                <w:bCs/>
                <w:sz w:val="22"/>
                <w:szCs w:val="22"/>
              </w:rPr>
              <w:t>1</w:t>
            </w:r>
            <w:r w:rsidR="00B52D2F" w:rsidRPr="00495094">
              <w:rPr>
                <w:rFonts w:ascii="Arial" w:hAnsi="Arial" w:cs="Arial"/>
                <w:bCs/>
                <w:sz w:val="22"/>
                <w:szCs w:val="22"/>
              </w:rPr>
              <w:t>,</w:t>
            </w:r>
            <w:r w:rsidR="00FE664F" w:rsidRPr="00495094">
              <w:rPr>
                <w:rFonts w:ascii="Arial" w:hAnsi="Arial" w:cs="Arial"/>
                <w:bCs/>
                <w:sz w:val="22"/>
                <w:szCs w:val="22"/>
              </w:rPr>
              <w:t>813</w:t>
            </w:r>
            <w:r w:rsidR="00B52D2F" w:rsidRPr="00495094">
              <w:rPr>
                <w:rFonts w:ascii="Arial" w:hAnsi="Arial" w:cs="Arial"/>
                <w:bCs/>
                <w:sz w:val="22"/>
                <w:szCs w:val="22"/>
              </w:rPr>
              <w:t>,</w:t>
            </w:r>
            <w:r w:rsidR="00FE664F" w:rsidRPr="00495094">
              <w:rPr>
                <w:rFonts w:ascii="Arial" w:hAnsi="Arial" w:cs="Arial"/>
                <w:bCs/>
                <w:sz w:val="22"/>
                <w:szCs w:val="22"/>
              </w:rPr>
              <w:t>441</w:t>
            </w:r>
          </w:p>
        </w:tc>
      </w:tr>
    </w:tbl>
    <w:p w14:paraId="4C655771" w14:textId="77777777" w:rsidR="00993A97" w:rsidRPr="00495094" w:rsidRDefault="00993A97" w:rsidP="00807C5B">
      <w:pPr>
        <w:rPr>
          <w:rFonts w:ascii="Arial" w:hAnsi="Arial" w:cs="Arial"/>
          <w:b/>
          <w:bCs/>
          <w:sz w:val="22"/>
          <w:szCs w:val="22"/>
        </w:rPr>
      </w:pPr>
    </w:p>
    <w:p w14:paraId="14CAE708" w14:textId="77777777" w:rsidR="00993A97" w:rsidRPr="00495094" w:rsidRDefault="00993A97" w:rsidP="00B148CB">
      <w:pPr>
        <w:ind w:left="720"/>
        <w:rPr>
          <w:rFonts w:ascii="Arial" w:hAnsi="Arial" w:cs="Arial"/>
          <w:b/>
          <w:bCs/>
          <w:sz w:val="22"/>
          <w:szCs w:val="22"/>
        </w:rPr>
      </w:pPr>
    </w:p>
    <w:p w14:paraId="34011DBB" w14:textId="77777777" w:rsidR="000416CC" w:rsidRPr="00495094" w:rsidRDefault="000416CC" w:rsidP="007F4EEC">
      <w:pPr>
        <w:numPr>
          <w:ilvl w:val="0"/>
          <w:numId w:val="12"/>
        </w:numPr>
        <w:ind w:left="720"/>
        <w:rPr>
          <w:rFonts w:ascii="Arial" w:hAnsi="Arial" w:cs="Arial"/>
          <w:b/>
          <w:bCs/>
          <w:sz w:val="22"/>
          <w:szCs w:val="22"/>
        </w:rPr>
      </w:pPr>
      <w:r w:rsidRPr="00495094">
        <w:rPr>
          <w:rFonts w:ascii="Arial" w:hAnsi="Arial" w:cs="Arial"/>
          <w:b/>
          <w:bCs/>
          <w:sz w:val="22"/>
          <w:szCs w:val="22"/>
        </w:rPr>
        <w:t>Income and Other Taxes</w:t>
      </w:r>
    </w:p>
    <w:p w14:paraId="29DE5871" w14:textId="77777777" w:rsidR="000416CC" w:rsidRPr="00495094" w:rsidRDefault="000416CC" w:rsidP="000416CC">
      <w:pPr>
        <w:rPr>
          <w:rFonts w:ascii="Arial" w:hAnsi="Arial" w:cs="Arial"/>
          <w:b/>
          <w:bCs/>
          <w:sz w:val="22"/>
          <w:szCs w:val="22"/>
          <w:u w:val="single"/>
        </w:rPr>
      </w:pPr>
    </w:p>
    <w:p w14:paraId="51F3A1CB" w14:textId="0D15F13E" w:rsidR="000416CC" w:rsidRPr="00495094" w:rsidRDefault="000416CC" w:rsidP="000416CC">
      <w:pPr>
        <w:rPr>
          <w:rFonts w:ascii="Arial" w:hAnsi="Arial" w:cs="Arial"/>
          <w:sz w:val="22"/>
          <w:szCs w:val="22"/>
        </w:rPr>
      </w:pPr>
      <w:r w:rsidRPr="00495094">
        <w:rPr>
          <w:rFonts w:ascii="Arial" w:hAnsi="Arial" w:cs="Arial"/>
          <w:sz w:val="22"/>
          <w:szCs w:val="22"/>
        </w:rPr>
        <w:t>Under Philippine tax laws, the Bank is subject to percentage and other taxes as well as income taxes.  Percentage and other taxes paid consist principally of gross receipt tax and documentary stamp tax.</w:t>
      </w:r>
    </w:p>
    <w:p w14:paraId="0A92D22C" w14:textId="77777777" w:rsidR="000416CC" w:rsidRPr="00495094" w:rsidRDefault="000416CC" w:rsidP="000416CC">
      <w:pPr>
        <w:rPr>
          <w:rFonts w:ascii="Arial" w:hAnsi="Arial" w:cs="Arial"/>
          <w:b/>
          <w:bCs/>
          <w:sz w:val="22"/>
          <w:szCs w:val="22"/>
          <w:u w:val="single"/>
        </w:rPr>
      </w:pPr>
    </w:p>
    <w:p w14:paraId="3D95AB44" w14:textId="77777777" w:rsidR="000416CC" w:rsidRPr="00495094" w:rsidRDefault="000416CC" w:rsidP="000416CC">
      <w:pPr>
        <w:rPr>
          <w:rFonts w:ascii="Arial" w:hAnsi="Arial" w:cs="Arial"/>
          <w:sz w:val="22"/>
          <w:szCs w:val="22"/>
        </w:rPr>
      </w:pPr>
      <w:r w:rsidRPr="00495094">
        <w:rPr>
          <w:rFonts w:ascii="Arial" w:hAnsi="Arial" w:cs="Arial"/>
          <w:sz w:val="22"/>
          <w:szCs w:val="22"/>
        </w:rPr>
        <w:t xml:space="preserve">Income taxes include the corporate income tax and final taxes paid at the rate of 20 per cent, which is a final withholding tax on gross interest income from government securities.  </w:t>
      </w:r>
    </w:p>
    <w:p w14:paraId="355E101C" w14:textId="77777777" w:rsidR="0091624F" w:rsidRPr="00495094" w:rsidRDefault="0091624F" w:rsidP="000416CC">
      <w:pPr>
        <w:rPr>
          <w:rFonts w:ascii="Arial" w:hAnsi="Arial" w:cs="Arial"/>
          <w:b/>
          <w:bCs/>
          <w:sz w:val="22"/>
          <w:szCs w:val="22"/>
          <w:u w:val="single"/>
        </w:rPr>
      </w:pPr>
    </w:p>
    <w:p w14:paraId="31D81BE8" w14:textId="2DBF6772" w:rsidR="000416CC" w:rsidRPr="00495094" w:rsidRDefault="000416CC" w:rsidP="000416CC">
      <w:pPr>
        <w:rPr>
          <w:rFonts w:ascii="Arial" w:hAnsi="Arial" w:cs="Arial"/>
          <w:sz w:val="22"/>
          <w:szCs w:val="22"/>
        </w:rPr>
      </w:pPr>
      <w:r w:rsidRPr="00495094">
        <w:rPr>
          <w:rFonts w:ascii="Arial" w:hAnsi="Arial" w:cs="Arial"/>
          <w:sz w:val="22"/>
          <w:szCs w:val="22"/>
        </w:rPr>
        <w:t xml:space="preserve">Interest allowed as a deductible expense is reduced to an amount equivalent to </w:t>
      </w:r>
      <w:r w:rsidR="00E57719" w:rsidRPr="00495094">
        <w:rPr>
          <w:rFonts w:ascii="Arial" w:hAnsi="Arial" w:cs="Arial"/>
          <w:sz w:val="22"/>
          <w:szCs w:val="22"/>
        </w:rPr>
        <w:t>20</w:t>
      </w:r>
      <w:r w:rsidRPr="00495094">
        <w:rPr>
          <w:rFonts w:ascii="Arial" w:hAnsi="Arial" w:cs="Arial"/>
          <w:sz w:val="22"/>
          <w:szCs w:val="22"/>
        </w:rPr>
        <w:t xml:space="preserve"> per cent of interest income subject to final tax.</w:t>
      </w:r>
    </w:p>
    <w:p w14:paraId="688BBB4A" w14:textId="77777777" w:rsidR="00042335" w:rsidRPr="00495094" w:rsidRDefault="00042335" w:rsidP="000416CC">
      <w:pPr>
        <w:rPr>
          <w:rFonts w:ascii="Arial" w:hAnsi="Arial" w:cs="Arial"/>
          <w:sz w:val="22"/>
          <w:szCs w:val="22"/>
        </w:rPr>
      </w:pPr>
    </w:p>
    <w:p w14:paraId="3FBBFC69" w14:textId="77777777" w:rsidR="00042335" w:rsidRPr="00495094" w:rsidRDefault="00042335" w:rsidP="00042335">
      <w:pPr>
        <w:pStyle w:val="NoSpacing"/>
        <w:spacing w:after="20"/>
        <w:rPr>
          <w:rFonts w:ascii="Arial" w:hAnsi="Arial" w:cs="Arial"/>
        </w:rPr>
      </w:pPr>
      <w:r w:rsidRPr="00495094">
        <w:rPr>
          <w:rFonts w:ascii="Arial" w:hAnsi="Arial" w:cs="Arial"/>
        </w:rPr>
        <w:t>Summary of taxes paid during the year:</w:t>
      </w:r>
    </w:p>
    <w:p w14:paraId="4AB362B4" w14:textId="77777777" w:rsidR="000416CC" w:rsidRPr="00495094" w:rsidRDefault="000416CC" w:rsidP="000416CC">
      <w:pPr>
        <w:rPr>
          <w:rFonts w:ascii="Arial" w:hAnsi="Arial" w:cs="Arial"/>
          <w:sz w:val="22"/>
          <w:szCs w:val="22"/>
        </w:rPr>
      </w:pPr>
    </w:p>
    <w:tbl>
      <w:tblPr>
        <w:tblW w:w="8737" w:type="dxa"/>
        <w:tblInd w:w="108" w:type="dxa"/>
        <w:tblLook w:val="04A0" w:firstRow="1" w:lastRow="0" w:firstColumn="1" w:lastColumn="0" w:noHBand="0" w:noVBand="1"/>
      </w:tblPr>
      <w:tblGrid>
        <w:gridCol w:w="5196"/>
        <w:gridCol w:w="1713"/>
        <w:gridCol w:w="1828"/>
      </w:tblGrid>
      <w:tr w:rsidR="00495094" w:rsidRPr="00495094" w14:paraId="4FC2EDB7" w14:textId="77777777" w:rsidTr="004738AB">
        <w:trPr>
          <w:tblHeader/>
        </w:trPr>
        <w:tc>
          <w:tcPr>
            <w:tcW w:w="5196" w:type="dxa"/>
            <w:tcBorders>
              <w:top w:val="single" w:sz="4" w:space="0" w:color="auto"/>
              <w:left w:val="nil"/>
              <w:bottom w:val="single" w:sz="4" w:space="0" w:color="auto"/>
              <w:right w:val="nil"/>
            </w:tcBorders>
            <w:shd w:val="clear" w:color="auto" w:fill="auto"/>
            <w:vAlign w:val="center"/>
          </w:tcPr>
          <w:p w14:paraId="5EDE81E9" w14:textId="77777777" w:rsidR="000416CC" w:rsidRPr="00495094" w:rsidRDefault="000416CC" w:rsidP="00FE50D1">
            <w:pPr>
              <w:ind w:left="-108"/>
              <w:rPr>
                <w:rFonts w:ascii="Arial" w:hAnsi="Arial" w:cs="Arial"/>
                <w:sz w:val="22"/>
                <w:szCs w:val="22"/>
                <w:lang w:val="en-PH" w:eastAsia="en-PH"/>
              </w:rPr>
            </w:pPr>
            <w:r w:rsidRPr="00495094">
              <w:rPr>
                <w:rFonts w:ascii="Arial" w:hAnsi="Arial" w:cs="Arial"/>
                <w:sz w:val="22"/>
                <w:szCs w:val="22"/>
              </w:rPr>
              <w:t> </w:t>
            </w:r>
          </w:p>
        </w:tc>
        <w:tc>
          <w:tcPr>
            <w:tcW w:w="1713" w:type="dxa"/>
            <w:tcBorders>
              <w:top w:val="single" w:sz="4" w:space="0" w:color="auto"/>
              <w:left w:val="nil"/>
              <w:bottom w:val="single" w:sz="4" w:space="0" w:color="auto"/>
              <w:right w:val="nil"/>
            </w:tcBorders>
            <w:shd w:val="clear" w:color="auto" w:fill="auto"/>
            <w:vAlign w:val="center"/>
          </w:tcPr>
          <w:p w14:paraId="192A9E6A" w14:textId="1FECA532" w:rsidR="000416CC" w:rsidRPr="00495094" w:rsidRDefault="000416CC" w:rsidP="00FA2E78">
            <w:pPr>
              <w:jc w:val="center"/>
              <w:rPr>
                <w:rFonts w:ascii="Arial" w:hAnsi="Arial" w:cs="Arial"/>
                <w:b/>
                <w:bCs/>
                <w:sz w:val="22"/>
                <w:szCs w:val="22"/>
              </w:rPr>
            </w:pPr>
            <w:r w:rsidRPr="00495094">
              <w:rPr>
                <w:rFonts w:ascii="Arial" w:hAnsi="Arial" w:cs="Arial"/>
                <w:b/>
                <w:bCs/>
                <w:sz w:val="22"/>
                <w:szCs w:val="22"/>
              </w:rPr>
              <w:t>20</w:t>
            </w:r>
            <w:r w:rsidR="00FF1F2B" w:rsidRPr="00495094">
              <w:rPr>
                <w:rFonts w:ascii="Arial" w:hAnsi="Arial" w:cs="Arial"/>
                <w:b/>
                <w:bCs/>
                <w:sz w:val="22"/>
                <w:szCs w:val="22"/>
              </w:rPr>
              <w:t>2</w:t>
            </w:r>
            <w:r w:rsidR="00FA2E78" w:rsidRPr="00495094">
              <w:rPr>
                <w:rFonts w:ascii="Arial" w:hAnsi="Arial" w:cs="Arial"/>
                <w:b/>
                <w:bCs/>
                <w:sz w:val="22"/>
                <w:szCs w:val="22"/>
              </w:rPr>
              <w:t>2</w:t>
            </w:r>
          </w:p>
        </w:tc>
        <w:tc>
          <w:tcPr>
            <w:tcW w:w="1828" w:type="dxa"/>
            <w:tcBorders>
              <w:top w:val="single" w:sz="4" w:space="0" w:color="auto"/>
              <w:left w:val="nil"/>
              <w:bottom w:val="single" w:sz="4" w:space="0" w:color="auto"/>
              <w:right w:val="nil"/>
            </w:tcBorders>
            <w:shd w:val="clear" w:color="auto" w:fill="auto"/>
            <w:vAlign w:val="center"/>
          </w:tcPr>
          <w:p w14:paraId="130C0906" w14:textId="753155EB" w:rsidR="000416CC" w:rsidRPr="00495094" w:rsidRDefault="00FF1F2B" w:rsidP="00E57719">
            <w:pPr>
              <w:ind w:right="-108"/>
              <w:jc w:val="center"/>
              <w:rPr>
                <w:rFonts w:ascii="Arial" w:hAnsi="Arial" w:cs="Arial"/>
                <w:b/>
                <w:bCs/>
                <w:sz w:val="22"/>
                <w:szCs w:val="22"/>
              </w:rPr>
            </w:pPr>
            <w:r w:rsidRPr="00495094">
              <w:rPr>
                <w:rFonts w:ascii="Arial" w:hAnsi="Arial" w:cs="Arial"/>
                <w:b/>
                <w:bCs/>
                <w:sz w:val="22"/>
                <w:szCs w:val="22"/>
              </w:rPr>
              <w:t xml:space="preserve">        202</w:t>
            </w:r>
            <w:r w:rsidR="00E57719" w:rsidRPr="00495094">
              <w:rPr>
                <w:rFonts w:ascii="Arial" w:hAnsi="Arial" w:cs="Arial"/>
                <w:b/>
                <w:bCs/>
                <w:sz w:val="22"/>
                <w:szCs w:val="22"/>
              </w:rPr>
              <w:t>1</w:t>
            </w:r>
          </w:p>
        </w:tc>
      </w:tr>
      <w:tr w:rsidR="00495094" w:rsidRPr="00495094" w14:paraId="434AC706" w14:textId="77777777" w:rsidTr="004738AB">
        <w:tc>
          <w:tcPr>
            <w:tcW w:w="5196" w:type="dxa"/>
            <w:tcBorders>
              <w:top w:val="nil"/>
              <w:left w:val="nil"/>
              <w:bottom w:val="nil"/>
              <w:right w:val="nil"/>
            </w:tcBorders>
            <w:shd w:val="clear" w:color="auto" w:fill="auto"/>
            <w:vAlign w:val="center"/>
          </w:tcPr>
          <w:p w14:paraId="04266AB6" w14:textId="77777777" w:rsidR="00FF1F2B" w:rsidRPr="00495094" w:rsidRDefault="00FF1F2B" w:rsidP="00FF1F2B">
            <w:pPr>
              <w:ind w:left="-108"/>
              <w:jc w:val="left"/>
              <w:rPr>
                <w:rFonts w:ascii="Arial" w:hAnsi="Arial" w:cs="Arial"/>
                <w:sz w:val="22"/>
                <w:szCs w:val="22"/>
                <w:lang w:val="en-PH" w:eastAsia="en-PH"/>
              </w:rPr>
            </w:pPr>
            <w:r w:rsidRPr="00495094">
              <w:rPr>
                <w:rFonts w:ascii="Arial" w:hAnsi="Arial" w:cs="Arial"/>
                <w:sz w:val="22"/>
                <w:szCs w:val="22"/>
              </w:rPr>
              <w:t>Documentary stamp taxes</w:t>
            </w:r>
          </w:p>
        </w:tc>
        <w:tc>
          <w:tcPr>
            <w:tcW w:w="1713" w:type="dxa"/>
            <w:tcBorders>
              <w:top w:val="nil"/>
              <w:left w:val="nil"/>
              <w:bottom w:val="nil"/>
              <w:right w:val="nil"/>
            </w:tcBorders>
            <w:shd w:val="clear" w:color="auto" w:fill="auto"/>
            <w:vAlign w:val="center"/>
          </w:tcPr>
          <w:p w14:paraId="50D88ACD" w14:textId="2D448FED" w:rsidR="00FF1F2B" w:rsidRPr="00495094" w:rsidRDefault="0095497E" w:rsidP="00FF1F2B">
            <w:pPr>
              <w:jc w:val="right"/>
              <w:rPr>
                <w:rFonts w:ascii="Arial" w:hAnsi="Arial" w:cs="Arial"/>
                <w:sz w:val="22"/>
                <w:szCs w:val="22"/>
                <w:highlight w:val="yellow"/>
              </w:rPr>
            </w:pPr>
            <w:r w:rsidRPr="00495094">
              <w:rPr>
                <w:rFonts w:ascii="Arial" w:hAnsi="Arial" w:cs="Arial"/>
                <w:sz w:val="22"/>
                <w:szCs w:val="22"/>
              </w:rPr>
              <w:t>15,946,926</w:t>
            </w:r>
          </w:p>
        </w:tc>
        <w:tc>
          <w:tcPr>
            <w:tcW w:w="1828" w:type="dxa"/>
            <w:tcBorders>
              <w:top w:val="nil"/>
              <w:left w:val="nil"/>
              <w:bottom w:val="nil"/>
              <w:right w:val="nil"/>
            </w:tcBorders>
            <w:shd w:val="clear" w:color="auto" w:fill="auto"/>
            <w:vAlign w:val="center"/>
          </w:tcPr>
          <w:p w14:paraId="1E51CDA4" w14:textId="5B88C578" w:rsidR="00FF1F2B" w:rsidRPr="00495094" w:rsidRDefault="00E57719" w:rsidP="00FF1F2B">
            <w:pPr>
              <w:ind w:right="-108"/>
              <w:jc w:val="right"/>
              <w:rPr>
                <w:rFonts w:ascii="Arial" w:hAnsi="Arial" w:cs="Arial"/>
                <w:sz w:val="22"/>
                <w:szCs w:val="22"/>
              </w:rPr>
            </w:pPr>
            <w:r w:rsidRPr="00495094">
              <w:rPr>
                <w:rFonts w:ascii="Arial" w:hAnsi="Arial" w:cs="Arial"/>
                <w:sz w:val="22"/>
                <w:szCs w:val="22"/>
              </w:rPr>
              <w:t>5,413,833</w:t>
            </w:r>
          </w:p>
        </w:tc>
      </w:tr>
      <w:tr w:rsidR="00495094" w:rsidRPr="00495094" w14:paraId="64CEF984" w14:textId="77777777" w:rsidTr="004738AB">
        <w:tc>
          <w:tcPr>
            <w:tcW w:w="5196" w:type="dxa"/>
            <w:tcBorders>
              <w:top w:val="nil"/>
              <w:left w:val="nil"/>
              <w:bottom w:val="nil"/>
              <w:right w:val="nil"/>
            </w:tcBorders>
            <w:shd w:val="clear" w:color="auto" w:fill="auto"/>
            <w:vAlign w:val="center"/>
          </w:tcPr>
          <w:p w14:paraId="26C1FEBB"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Final income taxes (1602)</w:t>
            </w:r>
          </w:p>
        </w:tc>
        <w:tc>
          <w:tcPr>
            <w:tcW w:w="1713" w:type="dxa"/>
            <w:tcBorders>
              <w:top w:val="nil"/>
              <w:left w:val="nil"/>
              <w:bottom w:val="nil"/>
              <w:right w:val="nil"/>
            </w:tcBorders>
            <w:shd w:val="clear" w:color="auto" w:fill="auto"/>
            <w:vAlign w:val="center"/>
          </w:tcPr>
          <w:p w14:paraId="7B5625B2" w14:textId="349F8EB0" w:rsidR="00FF1F2B" w:rsidRPr="00495094" w:rsidRDefault="00B2062F" w:rsidP="00FF1F2B">
            <w:pPr>
              <w:jc w:val="right"/>
              <w:rPr>
                <w:rFonts w:ascii="Arial" w:hAnsi="Arial" w:cs="Arial"/>
                <w:sz w:val="22"/>
                <w:szCs w:val="22"/>
                <w:highlight w:val="yellow"/>
              </w:rPr>
            </w:pPr>
            <w:r w:rsidRPr="00495094">
              <w:rPr>
                <w:rFonts w:ascii="Arial" w:hAnsi="Arial" w:cs="Arial"/>
                <w:sz w:val="22"/>
                <w:szCs w:val="22"/>
              </w:rPr>
              <w:t>1,553,410</w:t>
            </w:r>
          </w:p>
        </w:tc>
        <w:tc>
          <w:tcPr>
            <w:tcW w:w="1828" w:type="dxa"/>
            <w:tcBorders>
              <w:top w:val="nil"/>
              <w:left w:val="nil"/>
              <w:bottom w:val="nil"/>
              <w:right w:val="nil"/>
            </w:tcBorders>
            <w:shd w:val="clear" w:color="auto" w:fill="auto"/>
            <w:vAlign w:val="center"/>
          </w:tcPr>
          <w:p w14:paraId="32F10EBB" w14:textId="5D5F46BA" w:rsidR="00FF1F2B" w:rsidRPr="00495094" w:rsidRDefault="00FA2E78" w:rsidP="00FF1F2B">
            <w:pPr>
              <w:ind w:right="-108"/>
              <w:jc w:val="right"/>
              <w:rPr>
                <w:rFonts w:ascii="Arial" w:hAnsi="Arial" w:cs="Arial"/>
                <w:sz w:val="22"/>
                <w:szCs w:val="22"/>
              </w:rPr>
            </w:pPr>
            <w:r w:rsidRPr="00495094">
              <w:rPr>
                <w:rFonts w:ascii="Arial" w:hAnsi="Arial" w:cs="Arial"/>
                <w:sz w:val="22"/>
                <w:szCs w:val="22"/>
              </w:rPr>
              <w:t>6,419,759</w:t>
            </w:r>
          </w:p>
        </w:tc>
      </w:tr>
      <w:tr w:rsidR="00495094" w:rsidRPr="00495094" w14:paraId="295A8FAB" w14:textId="77777777" w:rsidTr="004738AB">
        <w:tc>
          <w:tcPr>
            <w:tcW w:w="5196" w:type="dxa"/>
            <w:tcBorders>
              <w:top w:val="nil"/>
              <w:left w:val="nil"/>
              <w:bottom w:val="nil"/>
              <w:right w:val="nil"/>
            </w:tcBorders>
            <w:shd w:val="clear" w:color="auto" w:fill="auto"/>
            <w:vAlign w:val="center"/>
          </w:tcPr>
          <w:p w14:paraId="73473822"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Income taxes on compensation (1601C)</w:t>
            </w:r>
          </w:p>
        </w:tc>
        <w:tc>
          <w:tcPr>
            <w:tcW w:w="1713" w:type="dxa"/>
            <w:tcBorders>
              <w:top w:val="nil"/>
              <w:left w:val="nil"/>
              <w:bottom w:val="nil"/>
              <w:right w:val="nil"/>
            </w:tcBorders>
            <w:shd w:val="clear" w:color="auto" w:fill="auto"/>
            <w:vAlign w:val="center"/>
          </w:tcPr>
          <w:p w14:paraId="0E4161DF" w14:textId="6464669E" w:rsidR="00FF1F2B" w:rsidRPr="00495094" w:rsidRDefault="0095497E" w:rsidP="00FF1F2B">
            <w:pPr>
              <w:jc w:val="right"/>
              <w:rPr>
                <w:rFonts w:ascii="Arial" w:hAnsi="Arial" w:cs="Arial"/>
                <w:sz w:val="22"/>
                <w:szCs w:val="22"/>
                <w:highlight w:val="yellow"/>
              </w:rPr>
            </w:pPr>
            <w:r w:rsidRPr="00495094">
              <w:rPr>
                <w:rFonts w:ascii="Arial" w:hAnsi="Arial" w:cs="Arial"/>
                <w:sz w:val="22"/>
                <w:szCs w:val="22"/>
              </w:rPr>
              <w:t>387,880</w:t>
            </w:r>
          </w:p>
        </w:tc>
        <w:tc>
          <w:tcPr>
            <w:tcW w:w="1828" w:type="dxa"/>
            <w:tcBorders>
              <w:top w:val="nil"/>
              <w:left w:val="nil"/>
              <w:bottom w:val="nil"/>
              <w:right w:val="nil"/>
            </w:tcBorders>
            <w:shd w:val="clear" w:color="auto" w:fill="auto"/>
            <w:vAlign w:val="center"/>
          </w:tcPr>
          <w:p w14:paraId="7D5462AD" w14:textId="36E58942" w:rsidR="00FF1F2B" w:rsidRPr="00495094" w:rsidRDefault="00FA2E78" w:rsidP="00FF1F2B">
            <w:pPr>
              <w:ind w:right="-108"/>
              <w:jc w:val="right"/>
              <w:rPr>
                <w:rFonts w:ascii="Arial" w:hAnsi="Arial" w:cs="Arial"/>
                <w:sz w:val="22"/>
                <w:szCs w:val="22"/>
              </w:rPr>
            </w:pPr>
            <w:r w:rsidRPr="00495094">
              <w:rPr>
                <w:rFonts w:ascii="Arial" w:hAnsi="Arial" w:cs="Arial"/>
                <w:sz w:val="22"/>
                <w:szCs w:val="22"/>
              </w:rPr>
              <w:t>364,671</w:t>
            </w:r>
          </w:p>
        </w:tc>
      </w:tr>
      <w:tr w:rsidR="00495094" w:rsidRPr="00495094" w14:paraId="708C2B26" w14:textId="77777777" w:rsidTr="004738AB">
        <w:tc>
          <w:tcPr>
            <w:tcW w:w="5196" w:type="dxa"/>
            <w:tcBorders>
              <w:top w:val="nil"/>
              <w:left w:val="nil"/>
              <w:bottom w:val="nil"/>
              <w:right w:val="nil"/>
            </w:tcBorders>
            <w:shd w:val="clear" w:color="auto" w:fill="auto"/>
            <w:vAlign w:val="center"/>
          </w:tcPr>
          <w:p w14:paraId="124660AD"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Percentage taxes (2551M)</w:t>
            </w:r>
          </w:p>
        </w:tc>
        <w:tc>
          <w:tcPr>
            <w:tcW w:w="1713" w:type="dxa"/>
            <w:tcBorders>
              <w:top w:val="nil"/>
              <w:left w:val="nil"/>
              <w:bottom w:val="nil"/>
              <w:right w:val="nil"/>
            </w:tcBorders>
            <w:shd w:val="clear" w:color="auto" w:fill="auto"/>
            <w:vAlign w:val="center"/>
          </w:tcPr>
          <w:p w14:paraId="30F78040" w14:textId="242243A9" w:rsidR="00FF1F2B" w:rsidRPr="00495094" w:rsidRDefault="002D551C" w:rsidP="00FF1F2B">
            <w:pPr>
              <w:jc w:val="right"/>
              <w:rPr>
                <w:rFonts w:ascii="Arial" w:hAnsi="Arial" w:cs="Arial"/>
                <w:sz w:val="22"/>
                <w:szCs w:val="22"/>
                <w:highlight w:val="yellow"/>
              </w:rPr>
            </w:pPr>
            <w:r w:rsidRPr="00495094">
              <w:rPr>
                <w:rFonts w:ascii="Arial" w:hAnsi="Arial" w:cs="Arial"/>
                <w:sz w:val="22"/>
                <w:szCs w:val="22"/>
              </w:rPr>
              <w:t>6,538,116</w:t>
            </w:r>
          </w:p>
        </w:tc>
        <w:tc>
          <w:tcPr>
            <w:tcW w:w="1828" w:type="dxa"/>
            <w:tcBorders>
              <w:top w:val="nil"/>
              <w:left w:val="nil"/>
              <w:bottom w:val="nil"/>
              <w:right w:val="nil"/>
            </w:tcBorders>
            <w:shd w:val="clear" w:color="auto" w:fill="auto"/>
            <w:vAlign w:val="center"/>
          </w:tcPr>
          <w:p w14:paraId="21FFE1F5" w14:textId="204B4A4C" w:rsidR="00FF1F2B" w:rsidRPr="00495094" w:rsidRDefault="00FA2E78" w:rsidP="00FF1F2B">
            <w:pPr>
              <w:ind w:right="-108"/>
              <w:jc w:val="right"/>
              <w:rPr>
                <w:rFonts w:ascii="Arial" w:hAnsi="Arial" w:cs="Arial"/>
                <w:sz w:val="22"/>
                <w:szCs w:val="22"/>
              </w:rPr>
            </w:pPr>
            <w:r w:rsidRPr="00495094">
              <w:rPr>
                <w:rFonts w:ascii="Arial" w:hAnsi="Arial" w:cs="Arial"/>
                <w:sz w:val="22"/>
                <w:szCs w:val="22"/>
              </w:rPr>
              <w:t>467,984</w:t>
            </w:r>
          </w:p>
        </w:tc>
      </w:tr>
      <w:tr w:rsidR="00495094" w:rsidRPr="00495094" w14:paraId="4E92AA16" w14:textId="77777777" w:rsidTr="004738AB">
        <w:tc>
          <w:tcPr>
            <w:tcW w:w="5196" w:type="dxa"/>
            <w:tcBorders>
              <w:top w:val="nil"/>
              <w:left w:val="nil"/>
              <w:bottom w:val="nil"/>
              <w:right w:val="nil"/>
            </w:tcBorders>
            <w:shd w:val="clear" w:color="auto" w:fill="auto"/>
            <w:vAlign w:val="center"/>
          </w:tcPr>
          <w:p w14:paraId="4C604505"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VAT &amp; other percentage taxes (1600)</w:t>
            </w:r>
          </w:p>
        </w:tc>
        <w:tc>
          <w:tcPr>
            <w:tcW w:w="1713" w:type="dxa"/>
            <w:tcBorders>
              <w:top w:val="nil"/>
              <w:left w:val="nil"/>
              <w:bottom w:val="nil"/>
              <w:right w:val="nil"/>
            </w:tcBorders>
            <w:shd w:val="clear" w:color="auto" w:fill="auto"/>
            <w:vAlign w:val="center"/>
          </w:tcPr>
          <w:p w14:paraId="2444A02B" w14:textId="480B138C" w:rsidR="00FF1F2B" w:rsidRPr="00495094" w:rsidRDefault="002D551C" w:rsidP="00FF1F2B">
            <w:pPr>
              <w:jc w:val="right"/>
              <w:rPr>
                <w:rFonts w:ascii="Arial" w:hAnsi="Arial" w:cs="Arial"/>
                <w:sz w:val="22"/>
                <w:szCs w:val="22"/>
                <w:highlight w:val="yellow"/>
              </w:rPr>
            </w:pPr>
            <w:r w:rsidRPr="00495094">
              <w:rPr>
                <w:rFonts w:ascii="Arial" w:hAnsi="Arial" w:cs="Arial"/>
                <w:sz w:val="22"/>
                <w:szCs w:val="22"/>
              </w:rPr>
              <w:t>347,247</w:t>
            </w:r>
          </w:p>
        </w:tc>
        <w:tc>
          <w:tcPr>
            <w:tcW w:w="1828" w:type="dxa"/>
            <w:tcBorders>
              <w:top w:val="nil"/>
              <w:left w:val="nil"/>
              <w:bottom w:val="nil"/>
              <w:right w:val="nil"/>
            </w:tcBorders>
            <w:shd w:val="clear" w:color="auto" w:fill="auto"/>
            <w:vAlign w:val="center"/>
          </w:tcPr>
          <w:p w14:paraId="77C152CE" w14:textId="76EF4F77" w:rsidR="00FF1F2B" w:rsidRPr="00495094" w:rsidRDefault="00FA2E78" w:rsidP="00FF1F2B">
            <w:pPr>
              <w:ind w:right="-108"/>
              <w:jc w:val="right"/>
              <w:rPr>
                <w:rFonts w:ascii="Arial" w:hAnsi="Arial" w:cs="Arial"/>
                <w:sz w:val="22"/>
                <w:szCs w:val="22"/>
              </w:rPr>
            </w:pPr>
            <w:r w:rsidRPr="00495094">
              <w:rPr>
                <w:rFonts w:ascii="Arial" w:hAnsi="Arial" w:cs="Arial"/>
                <w:sz w:val="22"/>
                <w:szCs w:val="22"/>
              </w:rPr>
              <w:t>387,967</w:t>
            </w:r>
          </w:p>
        </w:tc>
      </w:tr>
      <w:tr w:rsidR="00495094" w:rsidRPr="00495094" w14:paraId="3E6B6D3B" w14:textId="77777777" w:rsidTr="004738AB">
        <w:tc>
          <w:tcPr>
            <w:tcW w:w="5196" w:type="dxa"/>
            <w:tcBorders>
              <w:top w:val="nil"/>
              <w:left w:val="nil"/>
              <w:bottom w:val="nil"/>
              <w:right w:val="nil"/>
            </w:tcBorders>
            <w:shd w:val="clear" w:color="auto" w:fill="auto"/>
            <w:vAlign w:val="center"/>
          </w:tcPr>
          <w:p w14:paraId="6B93F491"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Creditable income taxes (1601E)</w:t>
            </w:r>
          </w:p>
        </w:tc>
        <w:tc>
          <w:tcPr>
            <w:tcW w:w="1713" w:type="dxa"/>
            <w:tcBorders>
              <w:top w:val="nil"/>
              <w:left w:val="nil"/>
              <w:bottom w:val="nil"/>
              <w:right w:val="nil"/>
            </w:tcBorders>
            <w:shd w:val="clear" w:color="auto" w:fill="auto"/>
            <w:vAlign w:val="center"/>
          </w:tcPr>
          <w:p w14:paraId="261A5211" w14:textId="53D49835" w:rsidR="00FF1F2B" w:rsidRPr="00495094" w:rsidRDefault="00382058" w:rsidP="00FF1F2B">
            <w:pPr>
              <w:jc w:val="right"/>
              <w:rPr>
                <w:rFonts w:ascii="Arial" w:hAnsi="Arial" w:cs="Arial"/>
                <w:sz w:val="22"/>
                <w:szCs w:val="22"/>
                <w:highlight w:val="yellow"/>
              </w:rPr>
            </w:pPr>
            <w:r w:rsidRPr="00495094">
              <w:rPr>
                <w:rFonts w:ascii="Arial" w:hAnsi="Arial" w:cs="Arial"/>
                <w:sz w:val="22"/>
                <w:szCs w:val="22"/>
              </w:rPr>
              <w:t>349,467</w:t>
            </w:r>
          </w:p>
        </w:tc>
        <w:tc>
          <w:tcPr>
            <w:tcW w:w="1828" w:type="dxa"/>
            <w:tcBorders>
              <w:top w:val="nil"/>
              <w:left w:val="nil"/>
              <w:bottom w:val="nil"/>
              <w:right w:val="nil"/>
            </w:tcBorders>
            <w:shd w:val="clear" w:color="auto" w:fill="auto"/>
            <w:vAlign w:val="center"/>
          </w:tcPr>
          <w:p w14:paraId="5ACB2586" w14:textId="1F8F6220" w:rsidR="00FF1F2B" w:rsidRPr="00495094" w:rsidRDefault="00FA2E78" w:rsidP="00FF1F2B">
            <w:pPr>
              <w:ind w:right="-108"/>
              <w:jc w:val="right"/>
              <w:rPr>
                <w:rFonts w:ascii="Arial" w:hAnsi="Arial" w:cs="Arial"/>
                <w:sz w:val="22"/>
                <w:szCs w:val="22"/>
              </w:rPr>
            </w:pPr>
            <w:r w:rsidRPr="00495094">
              <w:rPr>
                <w:rFonts w:ascii="Arial" w:hAnsi="Arial" w:cs="Arial"/>
                <w:sz w:val="22"/>
                <w:szCs w:val="22"/>
              </w:rPr>
              <w:t>200,849</w:t>
            </w:r>
          </w:p>
        </w:tc>
      </w:tr>
      <w:tr w:rsidR="00495094" w:rsidRPr="00495094" w14:paraId="3185C1CF" w14:textId="77777777" w:rsidTr="004738AB">
        <w:tc>
          <w:tcPr>
            <w:tcW w:w="5196" w:type="dxa"/>
            <w:tcBorders>
              <w:top w:val="nil"/>
              <w:left w:val="nil"/>
              <w:bottom w:val="nil"/>
              <w:right w:val="nil"/>
            </w:tcBorders>
            <w:shd w:val="clear" w:color="auto" w:fill="auto"/>
            <w:vAlign w:val="center"/>
          </w:tcPr>
          <w:p w14:paraId="3A4A4B53" w14:textId="77777777" w:rsidR="00FF1F2B" w:rsidRPr="00495094" w:rsidRDefault="00FF1F2B" w:rsidP="00FF1F2B">
            <w:pPr>
              <w:ind w:left="-108"/>
              <w:jc w:val="left"/>
              <w:rPr>
                <w:rFonts w:ascii="Arial" w:hAnsi="Arial" w:cs="Arial"/>
                <w:sz w:val="22"/>
                <w:szCs w:val="22"/>
              </w:rPr>
            </w:pPr>
            <w:r w:rsidRPr="00495094">
              <w:rPr>
                <w:rFonts w:ascii="Arial" w:hAnsi="Arial" w:cs="Arial"/>
                <w:sz w:val="22"/>
                <w:szCs w:val="22"/>
              </w:rPr>
              <w:t>Annual registration</w:t>
            </w:r>
          </w:p>
        </w:tc>
        <w:tc>
          <w:tcPr>
            <w:tcW w:w="1713" w:type="dxa"/>
            <w:tcBorders>
              <w:top w:val="nil"/>
              <w:left w:val="nil"/>
              <w:bottom w:val="nil"/>
              <w:right w:val="nil"/>
            </w:tcBorders>
            <w:shd w:val="clear" w:color="auto" w:fill="auto"/>
            <w:vAlign w:val="center"/>
          </w:tcPr>
          <w:p w14:paraId="4F386F4A" w14:textId="2F536E0B" w:rsidR="00FF1F2B" w:rsidRPr="00495094" w:rsidRDefault="00FF1F2B" w:rsidP="00FF1F2B">
            <w:pPr>
              <w:jc w:val="right"/>
              <w:rPr>
                <w:rFonts w:ascii="Arial" w:hAnsi="Arial" w:cs="Arial"/>
                <w:sz w:val="22"/>
                <w:szCs w:val="22"/>
                <w:highlight w:val="yellow"/>
              </w:rPr>
            </w:pPr>
            <w:r w:rsidRPr="00495094">
              <w:rPr>
                <w:rFonts w:ascii="Arial" w:hAnsi="Arial" w:cs="Arial"/>
                <w:sz w:val="22"/>
                <w:szCs w:val="22"/>
              </w:rPr>
              <w:t>500</w:t>
            </w:r>
          </w:p>
        </w:tc>
        <w:tc>
          <w:tcPr>
            <w:tcW w:w="1828" w:type="dxa"/>
            <w:tcBorders>
              <w:top w:val="nil"/>
              <w:left w:val="nil"/>
              <w:bottom w:val="nil"/>
              <w:right w:val="nil"/>
            </w:tcBorders>
            <w:shd w:val="clear" w:color="auto" w:fill="auto"/>
            <w:vAlign w:val="center"/>
          </w:tcPr>
          <w:p w14:paraId="4312564E" w14:textId="4A77A9F2" w:rsidR="00FF1F2B" w:rsidRPr="00495094" w:rsidRDefault="00FF1F2B" w:rsidP="00FF1F2B">
            <w:pPr>
              <w:ind w:right="-108"/>
              <w:jc w:val="right"/>
              <w:rPr>
                <w:rFonts w:ascii="Arial" w:hAnsi="Arial" w:cs="Arial"/>
                <w:sz w:val="22"/>
                <w:szCs w:val="22"/>
              </w:rPr>
            </w:pPr>
            <w:r w:rsidRPr="00495094">
              <w:rPr>
                <w:rFonts w:ascii="Arial" w:hAnsi="Arial" w:cs="Arial"/>
                <w:sz w:val="22"/>
                <w:szCs w:val="22"/>
              </w:rPr>
              <w:t>500</w:t>
            </w:r>
          </w:p>
        </w:tc>
      </w:tr>
      <w:tr w:rsidR="00495094" w:rsidRPr="00495094" w14:paraId="02CF5413" w14:textId="77777777" w:rsidTr="004738AB">
        <w:trPr>
          <w:trHeight w:val="233"/>
        </w:trPr>
        <w:tc>
          <w:tcPr>
            <w:tcW w:w="5196" w:type="dxa"/>
            <w:tcBorders>
              <w:top w:val="single" w:sz="4" w:space="0" w:color="auto"/>
              <w:left w:val="nil"/>
              <w:bottom w:val="double" w:sz="6" w:space="0" w:color="auto"/>
              <w:right w:val="nil"/>
            </w:tcBorders>
            <w:shd w:val="clear" w:color="auto" w:fill="auto"/>
            <w:vAlign w:val="center"/>
          </w:tcPr>
          <w:p w14:paraId="7368E302" w14:textId="77777777" w:rsidR="00FF1F2B" w:rsidRPr="00495094" w:rsidRDefault="00FF1F2B" w:rsidP="00FF1F2B">
            <w:pPr>
              <w:rPr>
                <w:rFonts w:ascii="Arial" w:hAnsi="Arial" w:cs="Arial"/>
                <w:sz w:val="22"/>
                <w:szCs w:val="22"/>
              </w:rPr>
            </w:pPr>
            <w:r w:rsidRPr="00495094">
              <w:rPr>
                <w:rFonts w:ascii="Arial" w:hAnsi="Arial" w:cs="Arial"/>
                <w:sz w:val="22"/>
                <w:szCs w:val="22"/>
              </w:rPr>
              <w:t xml:space="preserve">                                                                                </w:t>
            </w:r>
          </w:p>
        </w:tc>
        <w:tc>
          <w:tcPr>
            <w:tcW w:w="1713" w:type="dxa"/>
            <w:tcBorders>
              <w:top w:val="single" w:sz="4" w:space="0" w:color="auto"/>
              <w:left w:val="nil"/>
              <w:bottom w:val="double" w:sz="6" w:space="0" w:color="auto"/>
              <w:right w:val="nil"/>
            </w:tcBorders>
            <w:shd w:val="clear" w:color="auto" w:fill="auto"/>
            <w:vAlign w:val="center"/>
          </w:tcPr>
          <w:p w14:paraId="19D9C881" w14:textId="56AC5291" w:rsidR="00FF1F2B" w:rsidRPr="00495094" w:rsidRDefault="00B2062F" w:rsidP="00FF1F2B">
            <w:pPr>
              <w:jc w:val="right"/>
              <w:rPr>
                <w:rFonts w:ascii="Arial" w:hAnsi="Arial" w:cs="Arial"/>
                <w:b/>
                <w:bCs/>
                <w:sz w:val="22"/>
                <w:szCs w:val="22"/>
              </w:rPr>
            </w:pPr>
            <w:r w:rsidRPr="00495094">
              <w:rPr>
                <w:rFonts w:ascii="Arial" w:hAnsi="Arial" w:cs="Arial"/>
                <w:b/>
                <w:bCs/>
                <w:sz w:val="22"/>
                <w:szCs w:val="22"/>
              </w:rPr>
              <w:t>25,123,546</w:t>
            </w:r>
          </w:p>
        </w:tc>
        <w:tc>
          <w:tcPr>
            <w:tcW w:w="1828" w:type="dxa"/>
            <w:tcBorders>
              <w:top w:val="single" w:sz="4" w:space="0" w:color="auto"/>
              <w:left w:val="nil"/>
              <w:bottom w:val="double" w:sz="6" w:space="0" w:color="auto"/>
              <w:right w:val="nil"/>
            </w:tcBorders>
            <w:shd w:val="clear" w:color="auto" w:fill="auto"/>
            <w:vAlign w:val="center"/>
          </w:tcPr>
          <w:p w14:paraId="52EDAB3E" w14:textId="2FB115DC" w:rsidR="00FF1F2B" w:rsidRPr="00495094" w:rsidRDefault="00FA2E78" w:rsidP="00FF1F2B">
            <w:pPr>
              <w:ind w:right="-108"/>
              <w:jc w:val="right"/>
              <w:rPr>
                <w:rFonts w:ascii="Arial" w:hAnsi="Arial" w:cs="Arial"/>
                <w:b/>
                <w:bCs/>
                <w:sz w:val="22"/>
                <w:szCs w:val="22"/>
              </w:rPr>
            </w:pPr>
            <w:r w:rsidRPr="00495094">
              <w:rPr>
                <w:rFonts w:ascii="Arial" w:hAnsi="Arial" w:cs="Arial"/>
                <w:b/>
                <w:bCs/>
                <w:sz w:val="22"/>
                <w:szCs w:val="22"/>
              </w:rPr>
              <w:t>13,255,563</w:t>
            </w:r>
          </w:p>
        </w:tc>
      </w:tr>
    </w:tbl>
    <w:p w14:paraId="333FF593" w14:textId="77777777" w:rsidR="00543F94" w:rsidRPr="00495094" w:rsidRDefault="00543F94" w:rsidP="000416CC">
      <w:pPr>
        <w:rPr>
          <w:rFonts w:ascii="Arial" w:hAnsi="Arial" w:cs="Arial"/>
          <w:b/>
          <w:bCs/>
          <w:sz w:val="22"/>
          <w:szCs w:val="22"/>
        </w:rPr>
      </w:pPr>
    </w:p>
    <w:p w14:paraId="2BE87166" w14:textId="77777777" w:rsidR="00B2062F" w:rsidRPr="00495094" w:rsidRDefault="00B2062F" w:rsidP="000416CC">
      <w:pPr>
        <w:rPr>
          <w:rFonts w:ascii="Arial" w:hAnsi="Arial" w:cs="Arial"/>
          <w:b/>
          <w:bCs/>
          <w:sz w:val="22"/>
          <w:szCs w:val="22"/>
        </w:rPr>
      </w:pPr>
    </w:p>
    <w:p w14:paraId="32055784" w14:textId="258FBDDB" w:rsidR="000416CC" w:rsidRPr="00495094" w:rsidRDefault="000416CC" w:rsidP="000416CC">
      <w:pPr>
        <w:rPr>
          <w:rFonts w:ascii="Arial" w:hAnsi="Arial" w:cs="Arial"/>
          <w:bCs/>
          <w:sz w:val="22"/>
          <w:szCs w:val="22"/>
        </w:rPr>
      </w:pPr>
      <w:r w:rsidRPr="00495094">
        <w:rPr>
          <w:rFonts w:ascii="Arial" w:hAnsi="Arial" w:cs="Arial"/>
          <w:b/>
          <w:bCs/>
          <w:sz w:val="22"/>
          <w:szCs w:val="22"/>
        </w:rPr>
        <w:t xml:space="preserve">Supplemental Information </w:t>
      </w:r>
      <w:r w:rsidR="00DB1209" w:rsidRPr="00495094">
        <w:rPr>
          <w:rFonts w:ascii="Arial" w:hAnsi="Arial" w:cs="Arial"/>
          <w:b/>
          <w:bCs/>
          <w:sz w:val="22"/>
          <w:szCs w:val="22"/>
        </w:rPr>
        <w:t xml:space="preserve">Required under Revenue </w:t>
      </w:r>
      <w:r w:rsidRPr="00495094">
        <w:rPr>
          <w:rFonts w:ascii="Arial" w:hAnsi="Arial" w:cs="Arial"/>
          <w:b/>
          <w:bCs/>
          <w:sz w:val="22"/>
          <w:szCs w:val="22"/>
        </w:rPr>
        <w:t>Regulation</w:t>
      </w:r>
      <w:r w:rsidR="00DB1209" w:rsidRPr="00495094">
        <w:rPr>
          <w:rFonts w:ascii="Arial" w:hAnsi="Arial" w:cs="Arial"/>
          <w:b/>
          <w:bCs/>
          <w:sz w:val="22"/>
          <w:szCs w:val="22"/>
        </w:rPr>
        <w:t xml:space="preserve"> No. 15-2010</w:t>
      </w:r>
    </w:p>
    <w:p w14:paraId="11FB28A4" w14:textId="77777777" w:rsidR="000416CC" w:rsidRPr="00495094" w:rsidRDefault="000416CC" w:rsidP="000416CC">
      <w:pPr>
        <w:rPr>
          <w:rFonts w:ascii="Arial" w:hAnsi="Arial" w:cs="Arial"/>
          <w:bCs/>
          <w:sz w:val="22"/>
          <w:szCs w:val="22"/>
        </w:rPr>
      </w:pPr>
    </w:p>
    <w:p w14:paraId="6B52CC34" w14:textId="77777777" w:rsidR="000416CC" w:rsidRPr="00495094" w:rsidRDefault="000416CC" w:rsidP="000416CC">
      <w:pPr>
        <w:tabs>
          <w:tab w:val="left" w:pos="360"/>
        </w:tabs>
        <w:ind w:right="27"/>
        <w:rPr>
          <w:rFonts w:ascii="Arial" w:hAnsi="Arial" w:cs="Arial"/>
          <w:sz w:val="22"/>
          <w:szCs w:val="22"/>
        </w:rPr>
      </w:pPr>
      <w:r w:rsidRPr="00495094">
        <w:rPr>
          <w:rFonts w:ascii="Arial" w:hAnsi="Arial" w:cs="Arial"/>
          <w:sz w:val="22"/>
          <w:szCs w:val="22"/>
        </w:rPr>
        <w:t xml:space="preserve">Presented below is the supplementary information which is required by the Bureau of Internal Revenue (BIR) under its existing revenue regulation to be disclosed as part of the notes to financial statements. </w:t>
      </w:r>
    </w:p>
    <w:p w14:paraId="71EC7A42" w14:textId="77777777" w:rsidR="003C5E3D" w:rsidRPr="00495094" w:rsidRDefault="003C5E3D" w:rsidP="000416CC">
      <w:pPr>
        <w:tabs>
          <w:tab w:val="left" w:pos="360"/>
        </w:tabs>
        <w:ind w:right="27"/>
        <w:rPr>
          <w:rFonts w:ascii="Arial" w:hAnsi="Arial" w:cs="Arial"/>
          <w:sz w:val="22"/>
          <w:szCs w:val="22"/>
        </w:rPr>
      </w:pPr>
    </w:p>
    <w:p w14:paraId="4D1E031B" w14:textId="5B14CFE3" w:rsidR="000416CC" w:rsidRPr="00495094" w:rsidRDefault="000416CC" w:rsidP="007F4EEC">
      <w:pPr>
        <w:pStyle w:val="ListParagraph"/>
        <w:numPr>
          <w:ilvl w:val="0"/>
          <w:numId w:val="5"/>
        </w:numPr>
        <w:tabs>
          <w:tab w:val="clear" w:pos="1526"/>
        </w:tabs>
        <w:ind w:left="709" w:hanging="709"/>
        <w:rPr>
          <w:b/>
          <w:bCs/>
        </w:rPr>
      </w:pPr>
      <w:r w:rsidRPr="00495094">
        <w:rPr>
          <w:b/>
          <w:bCs/>
        </w:rPr>
        <w:t>Documentary stamp tax</w:t>
      </w:r>
    </w:p>
    <w:p w14:paraId="1369FE99" w14:textId="77777777" w:rsidR="000416CC" w:rsidRPr="00495094" w:rsidRDefault="000416CC" w:rsidP="000416CC">
      <w:pPr>
        <w:rPr>
          <w:rFonts w:ascii="Arial" w:hAnsi="Arial" w:cs="Arial"/>
          <w:bCs/>
          <w:sz w:val="22"/>
          <w:szCs w:val="22"/>
          <w:highlight w:val="yellow"/>
        </w:rPr>
      </w:pPr>
    </w:p>
    <w:p w14:paraId="6458FA9D" w14:textId="420D1851" w:rsidR="000416CC" w:rsidRPr="00495094" w:rsidRDefault="000416CC" w:rsidP="000416CC">
      <w:pPr>
        <w:rPr>
          <w:rFonts w:ascii="Arial" w:hAnsi="Arial" w:cs="Arial"/>
          <w:bCs/>
          <w:sz w:val="22"/>
          <w:szCs w:val="22"/>
        </w:rPr>
      </w:pPr>
      <w:r w:rsidRPr="00495094">
        <w:rPr>
          <w:rFonts w:ascii="Arial" w:hAnsi="Arial" w:cs="Arial"/>
          <w:bCs/>
          <w:sz w:val="22"/>
          <w:szCs w:val="22"/>
        </w:rPr>
        <w:t>The documentary stamp tax on loan instruments and other transactions subject thereto for the tax period 20</w:t>
      </w:r>
      <w:r w:rsidR="006C6BD0" w:rsidRPr="00495094">
        <w:rPr>
          <w:rFonts w:ascii="Arial" w:hAnsi="Arial" w:cs="Arial"/>
          <w:bCs/>
          <w:sz w:val="22"/>
          <w:szCs w:val="22"/>
        </w:rPr>
        <w:t>2</w:t>
      </w:r>
      <w:r w:rsidR="00382058" w:rsidRPr="00495094">
        <w:rPr>
          <w:rFonts w:ascii="Arial" w:hAnsi="Arial" w:cs="Arial"/>
          <w:bCs/>
          <w:sz w:val="22"/>
          <w:szCs w:val="22"/>
        </w:rPr>
        <w:t>2</w:t>
      </w:r>
      <w:r w:rsidRPr="00495094">
        <w:rPr>
          <w:rFonts w:ascii="Arial" w:hAnsi="Arial" w:cs="Arial"/>
          <w:bCs/>
          <w:sz w:val="22"/>
          <w:szCs w:val="22"/>
        </w:rPr>
        <w:t xml:space="preserve"> are as follows:</w:t>
      </w:r>
    </w:p>
    <w:p w14:paraId="44933A5E" w14:textId="77777777" w:rsidR="000416CC" w:rsidRPr="00495094" w:rsidRDefault="000416CC" w:rsidP="000416CC">
      <w:pPr>
        <w:rPr>
          <w:rFonts w:ascii="Arial" w:hAnsi="Arial" w:cs="Arial"/>
          <w:bCs/>
          <w:sz w:val="22"/>
          <w:szCs w:val="22"/>
        </w:rPr>
      </w:pPr>
    </w:p>
    <w:tbl>
      <w:tblPr>
        <w:tblW w:w="0" w:type="auto"/>
        <w:tblInd w:w="108" w:type="dxa"/>
        <w:tblLook w:val="04A0" w:firstRow="1" w:lastRow="0" w:firstColumn="1" w:lastColumn="0" w:noHBand="0" w:noVBand="1"/>
      </w:tblPr>
      <w:tblGrid>
        <w:gridCol w:w="3063"/>
        <w:gridCol w:w="1102"/>
        <w:gridCol w:w="1962"/>
        <w:gridCol w:w="2071"/>
      </w:tblGrid>
      <w:tr w:rsidR="00495094" w:rsidRPr="00495094" w14:paraId="38CD1879" w14:textId="77777777" w:rsidTr="00AF0ED0">
        <w:trPr>
          <w:tblHeader/>
        </w:trPr>
        <w:tc>
          <w:tcPr>
            <w:tcW w:w="4165" w:type="dxa"/>
            <w:gridSpan w:val="2"/>
            <w:tcBorders>
              <w:top w:val="single" w:sz="4" w:space="0" w:color="auto"/>
              <w:left w:val="nil"/>
              <w:bottom w:val="single" w:sz="4" w:space="0" w:color="auto"/>
              <w:right w:val="nil"/>
            </w:tcBorders>
            <w:shd w:val="clear" w:color="auto" w:fill="auto"/>
            <w:vAlign w:val="center"/>
          </w:tcPr>
          <w:p w14:paraId="5F33001D" w14:textId="77777777" w:rsidR="000416CC" w:rsidRPr="00495094" w:rsidRDefault="000416CC" w:rsidP="00FE50D1">
            <w:pPr>
              <w:rPr>
                <w:rFonts w:ascii="Arial" w:hAnsi="Arial" w:cs="Arial"/>
                <w:sz w:val="22"/>
                <w:szCs w:val="22"/>
                <w:lang w:val="en-PH" w:eastAsia="en-PH"/>
              </w:rPr>
            </w:pPr>
            <w:r w:rsidRPr="00495094">
              <w:rPr>
                <w:rFonts w:ascii="Arial" w:hAnsi="Arial" w:cs="Arial"/>
                <w:sz w:val="22"/>
                <w:szCs w:val="22"/>
              </w:rPr>
              <w:t xml:space="preserve">            </w:t>
            </w:r>
            <w:r w:rsidRPr="00495094">
              <w:rPr>
                <w:rFonts w:ascii="Arial" w:hAnsi="Arial" w:cs="Arial"/>
                <w:b/>
                <w:bCs/>
                <w:sz w:val="22"/>
                <w:szCs w:val="22"/>
              </w:rPr>
              <w:t>Documents/Transactions</w:t>
            </w:r>
          </w:p>
        </w:tc>
        <w:tc>
          <w:tcPr>
            <w:tcW w:w="1962" w:type="dxa"/>
            <w:tcBorders>
              <w:top w:val="single" w:sz="4" w:space="0" w:color="auto"/>
              <w:left w:val="nil"/>
              <w:bottom w:val="single" w:sz="4" w:space="0" w:color="auto"/>
              <w:right w:val="nil"/>
            </w:tcBorders>
            <w:shd w:val="clear" w:color="auto" w:fill="auto"/>
            <w:vAlign w:val="center"/>
          </w:tcPr>
          <w:p w14:paraId="42983BD1" w14:textId="77777777" w:rsidR="000416CC" w:rsidRPr="00495094" w:rsidRDefault="000416CC" w:rsidP="00FE50D1">
            <w:pPr>
              <w:rPr>
                <w:rFonts w:ascii="Arial" w:hAnsi="Arial" w:cs="Arial"/>
                <w:b/>
                <w:bCs/>
                <w:sz w:val="22"/>
                <w:szCs w:val="22"/>
              </w:rPr>
            </w:pPr>
            <w:r w:rsidRPr="00495094">
              <w:rPr>
                <w:rFonts w:ascii="Arial" w:hAnsi="Arial" w:cs="Arial"/>
                <w:b/>
                <w:bCs/>
                <w:sz w:val="22"/>
                <w:szCs w:val="22"/>
              </w:rPr>
              <w:t> </w:t>
            </w:r>
          </w:p>
        </w:tc>
        <w:tc>
          <w:tcPr>
            <w:tcW w:w="2071" w:type="dxa"/>
            <w:tcBorders>
              <w:top w:val="single" w:sz="4" w:space="0" w:color="auto"/>
              <w:left w:val="nil"/>
              <w:bottom w:val="single" w:sz="4" w:space="0" w:color="auto"/>
              <w:right w:val="nil"/>
            </w:tcBorders>
            <w:shd w:val="clear" w:color="auto" w:fill="auto"/>
            <w:vAlign w:val="center"/>
          </w:tcPr>
          <w:p w14:paraId="653B8E40" w14:textId="77777777" w:rsidR="000416CC" w:rsidRPr="00495094" w:rsidRDefault="000416CC" w:rsidP="00FE50D1">
            <w:pPr>
              <w:ind w:right="-115"/>
              <w:jc w:val="center"/>
              <w:rPr>
                <w:rFonts w:ascii="Arial" w:hAnsi="Arial" w:cs="Arial"/>
                <w:b/>
                <w:bCs/>
                <w:sz w:val="22"/>
                <w:szCs w:val="22"/>
              </w:rPr>
            </w:pPr>
            <w:r w:rsidRPr="00495094">
              <w:rPr>
                <w:rFonts w:ascii="Arial" w:hAnsi="Arial" w:cs="Arial"/>
                <w:b/>
                <w:bCs/>
                <w:sz w:val="22"/>
                <w:szCs w:val="22"/>
              </w:rPr>
              <w:t xml:space="preserve">        DST Paid</w:t>
            </w:r>
          </w:p>
        </w:tc>
      </w:tr>
      <w:tr w:rsidR="00495094" w:rsidRPr="00495094" w14:paraId="15B48716" w14:textId="77777777" w:rsidTr="007A10F3">
        <w:tc>
          <w:tcPr>
            <w:tcW w:w="3063" w:type="dxa"/>
            <w:tcBorders>
              <w:top w:val="single" w:sz="4" w:space="0" w:color="auto"/>
              <w:left w:val="nil"/>
              <w:bottom w:val="single" w:sz="4" w:space="0" w:color="auto"/>
              <w:right w:val="nil"/>
            </w:tcBorders>
            <w:shd w:val="clear" w:color="auto" w:fill="auto"/>
            <w:vAlign w:val="center"/>
          </w:tcPr>
          <w:p w14:paraId="724BDE68" w14:textId="77777777" w:rsidR="00AF0ED0" w:rsidRPr="00495094" w:rsidRDefault="00AF0ED0" w:rsidP="008F552A">
            <w:pPr>
              <w:jc w:val="left"/>
              <w:rPr>
                <w:rFonts w:ascii="Arial" w:hAnsi="Arial" w:cs="Arial"/>
                <w:sz w:val="22"/>
                <w:szCs w:val="22"/>
              </w:rPr>
            </w:pPr>
            <w:r w:rsidRPr="00495094">
              <w:rPr>
                <w:rFonts w:ascii="Arial" w:hAnsi="Arial" w:cs="Arial"/>
                <w:sz w:val="22"/>
                <w:szCs w:val="22"/>
              </w:rPr>
              <w:t>Certificate of time deposits/Other deposits</w:t>
            </w:r>
          </w:p>
        </w:tc>
        <w:tc>
          <w:tcPr>
            <w:tcW w:w="3064" w:type="dxa"/>
            <w:gridSpan w:val="2"/>
            <w:tcBorders>
              <w:top w:val="single" w:sz="4" w:space="0" w:color="auto"/>
              <w:left w:val="nil"/>
              <w:bottom w:val="single" w:sz="4" w:space="0" w:color="auto"/>
              <w:right w:val="nil"/>
            </w:tcBorders>
            <w:shd w:val="clear" w:color="auto" w:fill="auto"/>
            <w:vAlign w:val="center"/>
          </w:tcPr>
          <w:p w14:paraId="7A040F90" w14:textId="5C98F069" w:rsidR="00AF0ED0" w:rsidRPr="00495094" w:rsidRDefault="00AF0ED0" w:rsidP="008F552A">
            <w:pPr>
              <w:jc w:val="right"/>
              <w:rPr>
                <w:rFonts w:ascii="Arial" w:hAnsi="Arial" w:cs="Arial"/>
                <w:sz w:val="22"/>
                <w:szCs w:val="22"/>
              </w:rPr>
            </w:pPr>
            <w:r w:rsidRPr="00495094">
              <w:rPr>
                <w:rFonts w:ascii="Arial" w:hAnsi="Arial" w:cs="Arial"/>
                <w:sz w:val="22"/>
                <w:szCs w:val="22"/>
              </w:rPr>
              <w:t xml:space="preserve"> </w:t>
            </w:r>
          </w:p>
        </w:tc>
        <w:tc>
          <w:tcPr>
            <w:tcW w:w="2071" w:type="dxa"/>
            <w:tcBorders>
              <w:top w:val="single" w:sz="4" w:space="0" w:color="auto"/>
              <w:left w:val="nil"/>
              <w:bottom w:val="single" w:sz="4" w:space="0" w:color="auto"/>
              <w:right w:val="nil"/>
            </w:tcBorders>
            <w:shd w:val="clear" w:color="auto" w:fill="auto"/>
            <w:vAlign w:val="center"/>
          </w:tcPr>
          <w:p w14:paraId="08D60618" w14:textId="4A66AD81" w:rsidR="00AF0ED0" w:rsidRPr="00495094" w:rsidRDefault="00AF0ED0" w:rsidP="00AF0ED0">
            <w:pPr>
              <w:ind w:right="-115"/>
              <w:jc w:val="right"/>
              <w:rPr>
                <w:rFonts w:ascii="Arial" w:hAnsi="Arial" w:cs="Arial"/>
                <w:sz w:val="22"/>
                <w:szCs w:val="22"/>
              </w:rPr>
            </w:pPr>
            <w:r w:rsidRPr="00495094">
              <w:rPr>
                <w:rFonts w:ascii="Arial" w:hAnsi="Arial" w:cs="Arial"/>
                <w:sz w:val="22"/>
                <w:szCs w:val="22"/>
              </w:rPr>
              <w:t>15,946,926</w:t>
            </w:r>
          </w:p>
        </w:tc>
      </w:tr>
      <w:tr w:rsidR="00495094" w:rsidRPr="00495094" w14:paraId="7926E2FB" w14:textId="77777777" w:rsidTr="00AF0ED0">
        <w:tc>
          <w:tcPr>
            <w:tcW w:w="4165" w:type="dxa"/>
            <w:gridSpan w:val="2"/>
            <w:tcBorders>
              <w:top w:val="single" w:sz="4" w:space="0" w:color="auto"/>
              <w:left w:val="nil"/>
              <w:bottom w:val="double" w:sz="4" w:space="0" w:color="auto"/>
              <w:right w:val="nil"/>
            </w:tcBorders>
            <w:shd w:val="clear" w:color="auto" w:fill="auto"/>
            <w:vAlign w:val="center"/>
          </w:tcPr>
          <w:p w14:paraId="49AF0B97" w14:textId="77777777" w:rsidR="008F552A" w:rsidRPr="00495094" w:rsidRDefault="008F552A" w:rsidP="008F552A">
            <w:pPr>
              <w:rPr>
                <w:rFonts w:ascii="Arial" w:hAnsi="Arial" w:cs="Arial"/>
                <w:sz w:val="22"/>
                <w:szCs w:val="22"/>
              </w:rPr>
            </w:pPr>
            <w:r w:rsidRPr="00495094">
              <w:rPr>
                <w:rFonts w:ascii="Arial" w:hAnsi="Arial" w:cs="Arial"/>
                <w:sz w:val="22"/>
                <w:szCs w:val="22"/>
              </w:rPr>
              <w:t> </w:t>
            </w:r>
          </w:p>
        </w:tc>
        <w:tc>
          <w:tcPr>
            <w:tcW w:w="1962" w:type="dxa"/>
            <w:tcBorders>
              <w:top w:val="single" w:sz="4" w:space="0" w:color="auto"/>
              <w:left w:val="nil"/>
              <w:bottom w:val="double" w:sz="4" w:space="0" w:color="auto"/>
              <w:right w:val="nil"/>
            </w:tcBorders>
            <w:shd w:val="clear" w:color="auto" w:fill="auto"/>
            <w:vAlign w:val="center"/>
          </w:tcPr>
          <w:p w14:paraId="5B5C8D53" w14:textId="77777777" w:rsidR="008F552A" w:rsidRPr="00495094" w:rsidRDefault="008F552A" w:rsidP="008F552A">
            <w:pPr>
              <w:jc w:val="right"/>
              <w:rPr>
                <w:rFonts w:ascii="Arial" w:hAnsi="Arial" w:cs="Arial"/>
                <w:bCs/>
                <w:sz w:val="22"/>
                <w:szCs w:val="22"/>
              </w:rPr>
            </w:pPr>
            <w:r w:rsidRPr="00495094">
              <w:rPr>
                <w:rFonts w:ascii="Arial" w:hAnsi="Arial" w:cs="Arial"/>
                <w:bCs/>
                <w:sz w:val="22"/>
                <w:szCs w:val="22"/>
              </w:rPr>
              <w:t> </w:t>
            </w:r>
          </w:p>
        </w:tc>
        <w:tc>
          <w:tcPr>
            <w:tcW w:w="2071" w:type="dxa"/>
            <w:tcBorders>
              <w:top w:val="single" w:sz="4" w:space="0" w:color="auto"/>
              <w:left w:val="nil"/>
              <w:bottom w:val="double" w:sz="4" w:space="0" w:color="auto"/>
              <w:right w:val="nil"/>
            </w:tcBorders>
            <w:shd w:val="clear" w:color="auto" w:fill="auto"/>
            <w:vAlign w:val="center"/>
          </w:tcPr>
          <w:p w14:paraId="08A69175" w14:textId="7B105529" w:rsidR="008F552A" w:rsidRPr="00495094" w:rsidRDefault="00382058" w:rsidP="008F552A">
            <w:pPr>
              <w:ind w:right="-115"/>
              <w:jc w:val="right"/>
              <w:rPr>
                <w:rFonts w:ascii="Arial" w:hAnsi="Arial" w:cs="Arial"/>
                <w:bCs/>
                <w:sz w:val="22"/>
                <w:szCs w:val="22"/>
              </w:rPr>
            </w:pPr>
            <w:r w:rsidRPr="00495094">
              <w:rPr>
                <w:rFonts w:ascii="Arial" w:hAnsi="Arial" w:cs="Arial"/>
                <w:bCs/>
                <w:sz w:val="22"/>
                <w:szCs w:val="22"/>
              </w:rPr>
              <w:t>15,946,926</w:t>
            </w:r>
          </w:p>
        </w:tc>
      </w:tr>
    </w:tbl>
    <w:p w14:paraId="63DEC133" w14:textId="77777777" w:rsidR="000416CC" w:rsidRPr="00495094" w:rsidRDefault="000416CC" w:rsidP="000416CC">
      <w:pPr>
        <w:rPr>
          <w:rFonts w:ascii="Arial" w:hAnsi="Arial" w:cs="Arial"/>
          <w:b/>
          <w:bCs/>
          <w:sz w:val="22"/>
          <w:szCs w:val="22"/>
        </w:rPr>
      </w:pPr>
    </w:p>
    <w:p w14:paraId="3A6AEC0A" w14:textId="77777777" w:rsidR="00807C5B" w:rsidRPr="00495094" w:rsidRDefault="00807C5B" w:rsidP="000416CC">
      <w:pPr>
        <w:rPr>
          <w:rFonts w:ascii="Arial" w:hAnsi="Arial" w:cs="Arial"/>
          <w:b/>
          <w:bCs/>
          <w:sz w:val="22"/>
          <w:szCs w:val="22"/>
        </w:rPr>
      </w:pPr>
    </w:p>
    <w:p w14:paraId="32EE085C" w14:textId="77777777" w:rsidR="00807C5B" w:rsidRPr="00495094" w:rsidRDefault="00807C5B" w:rsidP="000416CC">
      <w:pPr>
        <w:rPr>
          <w:rFonts w:ascii="Arial" w:hAnsi="Arial" w:cs="Arial"/>
          <w:b/>
          <w:bCs/>
          <w:sz w:val="22"/>
          <w:szCs w:val="22"/>
        </w:rPr>
      </w:pPr>
    </w:p>
    <w:p w14:paraId="70C38B42" w14:textId="77777777" w:rsidR="00807C5B" w:rsidRPr="00495094" w:rsidRDefault="00807C5B" w:rsidP="000416CC">
      <w:pPr>
        <w:rPr>
          <w:rFonts w:ascii="Arial" w:hAnsi="Arial" w:cs="Arial"/>
          <w:b/>
          <w:bCs/>
          <w:sz w:val="22"/>
          <w:szCs w:val="22"/>
        </w:rPr>
      </w:pPr>
    </w:p>
    <w:p w14:paraId="73A6B1D8" w14:textId="77777777" w:rsidR="000416CC" w:rsidRPr="00495094" w:rsidRDefault="000416CC" w:rsidP="007F4EEC">
      <w:pPr>
        <w:pStyle w:val="ListParagraph"/>
        <w:numPr>
          <w:ilvl w:val="0"/>
          <w:numId w:val="5"/>
        </w:numPr>
        <w:tabs>
          <w:tab w:val="clear" w:pos="1526"/>
        </w:tabs>
        <w:ind w:left="709" w:hanging="709"/>
        <w:rPr>
          <w:b/>
          <w:bCs/>
        </w:rPr>
      </w:pPr>
      <w:r w:rsidRPr="00495094">
        <w:rPr>
          <w:b/>
          <w:bCs/>
        </w:rPr>
        <w:lastRenderedPageBreak/>
        <w:t>Other taxes and licenses</w:t>
      </w:r>
    </w:p>
    <w:p w14:paraId="5D019005" w14:textId="77777777" w:rsidR="000416CC" w:rsidRPr="00495094" w:rsidRDefault="000416CC" w:rsidP="000416CC">
      <w:pPr>
        <w:rPr>
          <w:rFonts w:ascii="Arial" w:hAnsi="Arial" w:cs="Arial"/>
          <w:bCs/>
          <w:sz w:val="22"/>
          <w:szCs w:val="22"/>
        </w:rPr>
      </w:pPr>
    </w:p>
    <w:p w14:paraId="1FFF0708" w14:textId="0A22629E" w:rsidR="000416CC" w:rsidRPr="00495094" w:rsidRDefault="004E6E73" w:rsidP="000416CC">
      <w:pPr>
        <w:rPr>
          <w:rFonts w:ascii="Arial" w:hAnsi="Arial" w:cs="Arial"/>
          <w:bCs/>
          <w:sz w:val="22"/>
          <w:szCs w:val="22"/>
        </w:rPr>
      </w:pPr>
      <w:r w:rsidRPr="00495094">
        <w:rPr>
          <w:rFonts w:ascii="Arial" w:hAnsi="Arial" w:cs="Arial"/>
          <w:bCs/>
          <w:sz w:val="22"/>
          <w:szCs w:val="22"/>
        </w:rPr>
        <w:t>In 20</w:t>
      </w:r>
      <w:r w:rsidR="0012293B" w:rsidRPr="00495094">
        <w:rPr>
          <w:rFonts w:ascii="Arial" w:hAnsi="Arial" w:cs="Arial"/>
          <w:bCs/>
          <w:sz w:val="22"/>
          <w:szCs w:val="22"/>
        </w:rPr>
        <w:t>2</w:t>
      </w:r>
      <w:r w:rsidR="00382058" w:rsidRPr="00495094">
        <w:rPr>
          <w:rFonts w:ascii="Arial" w:hAnsi="Arial" w:cs="Arial"/>
          <w:bCs/>
          <w:sz w:val="22"/>
          <w:szCs w:val="22"/>
        </w:rPr>
        <w:t>2</w:t>
      </w:r>
      <w:r w:rsidRPr="00495094">
        <w:rPr>
          <w:rFonts w:ascii="Arial" w:hAnsi="Arial" w:cs="Arial"/>
          <w:bCs/>
          <w:sz w:val="22"/>
          <w:szCs w:val="22"/>
        </w:rPr>
        <w:t xml:space="preserve">, </w:t>
      </w:r>
      <w:r w:rsidR="000416CC" w:rsidRPr="00495094">
        <w:rPr>
          <w:rFonts w:ascii="Arial" w:hAnsi="Arial" w:cs="Arial"/>
          <w:bCs/>
          <w:sz w:val="22"/>
          <w:szCs w:val="22"/>
        </w:rPr>
        <w:t>Taxes and licenses presented as part of “</w:t>
      </w:r>
      <w:r w:rsidR="00D31FAF" w:rsidRPr="00495094">
        <w:rPr>
          <w:rFonts w:ascii="Arial" w:hAnsi="Arial" w:cs="Arial"/>
          <w:bCs/>
          <w:sz w:val="22"/>
          <w:szCs w:val="22"/>
        </w:rPr>
        <w:t xml:space="preserve">Other </w:t>
      </w:r>
      <w:r w:rsidR="000416CC" w:rsidRPr="00495094">
        <w:rPr>
          <w:rFonts w:ascii="Arial" w:hAnsi="Arial" w:cs="Arial"/>
          <w:bCs/>
          <w:sz w:val="22"/>
          <w:szCs w:val="22"/>
        </w:rPr>
        <w:t xml:space="preserve">Operating Expense” accounts in the statement of comprehensive income includes </w:t>
      </w:r>
      <w:r w:rsidRPr="00495094">
        <w:rPr>
          <w:rFonts w:ascii="Arial" w:hAnsi="Arial" w:cs="Arial"/>
          <w:bCs/>
          <w:sz w:val="22"/>
          <w:szCs w:val="22"/>
        </w:rPr>
        <w:t>the following:</w:t>
      </w:r>
    </w:p>
    <w:p w14:paraId="15BD7103" w14:textId="77777777" w:rsidR="000416CC" w:rsidRPr="00495094" w:rsidRDefault="000416CC" w:rsidP="000416CC">
      <w:pPr>
        <w:rPr>
          <w:rFonts w:ascii="Arial" w:hAnsi="Arial" w:cs="Arial"/>
          <w:bCs/>
          <w:sz w:val="22"/>
          <w:szCs w:val="22"/>
        </w:rPr>
      </w:pPr>
    </w:p>
    <w:tbl>
      <w:tblPr>
        <w:tblW w:w="8245" w:type="dxa"/>
        <w:tblInd w:w="108" w:type="dxa"/>
        <w:tblLayout w:type="fixed"/>
        <w:tblLook w:val="04A0" w:firstRow="1" w:lastRow="0" w:firstColumn="1" w:lastColumn="0" w:noHBand="0" w:noVBand="1"/>
      </w:tblPr>
      <w:tblGrid>
        <w:gridCol w:w="289"/>
        <w:gridCol w:w="4990"/>
        <w:gridCol w:w="2966"/>
      </w:tblGrid>
      <w:tr w:rsidR="00495094" w:rsidRPr="00495094" w14:paraId="04B818DD" w14:textId="77777777" w:rsidTr="00EA6D85">
        <w:trPr>
          <w:trHeight w:val="71"/>
          <w:tblHeader/>
        </w:trPr>
        <w:tc>
          <w:tcPr>
            <w:tcW w:w="5279" w:type="dxa"/>
            <w:gridSpan w:val="2"/>
            <w:tcBorders>
              <w:top w:val="single" w:sz="4" w:space="0" w:color="auto"/>
            </w:tcBorders>
            <w:shd w:val="clear" w:color="auto" w:fill="auto"/>
            <w:noWrap/>
            <w:vAlign w:val="bottom"/>
            <w:hideMark/>
          </w:tcPr>
          <w:p w14:paraId="1F05DB5E" w14:textId="77777777" w:rsidR="00042335" w:rsidRPr="00495094" w:rsidRDefault="00042335" w:rsidP="00FE50D1">
            <w:pPr>
              <w:jc w:val="left"/>
              <w:rPr>
                <w:rFonts w:ascii="Arial" w:hAnsi="Arial" w:cs="Arial"/>
                <w:sz w:val="22"/>
                <w:szCs w:val="22"/>
                <w:lang w:val="en-PH" w:eastAsia="en-PH"/>
              </w:rPr>
            </w:pPr>
            <w:r w:rsidRPr="00495094">
              <w:rPr>
                <w:rFonts w:ascii="Arial" w:hAnsi="Arial" w:cs="Arial"/>
                <w:sz w:val="22"/>
                <w:szCs w:val="22"/>
                <w:lang w:val="en-PH" w:eastAsia="en-PH"/>
              </w:rPr>
              <w:t xml:space="preserve">Local taxes               </w:t>
            </w:r>
          </w:p>
        </w:tc>
        <w:tc>
          <w:tcPr>
            <w:tcW w:w="2966" w:type="dxa"/>
            <w:tcBorders>
              <w:top w:val="single" w:sz="4" w:space="0" w:color="auto"/>
            </w:tcBorders>
            <w:shd w:val="clear" w:color="auto" w:fill="auto"/>
            <w:noWrap/>
            <w:vAlign w:val="bottom"/>
            <w:hideMark/>
          </w:tcPr>
          <w:p w14:paraId="3EBD7180" w14:textId="425263EA" w:rsidR="00042335" w:rsidRPr="00495094" w:rsidRDefault="00B2062F" w:rsidP="00B2062F">
            <w:pPr>
              <w:ind w:right="-113"/>
              <w:jc w:val="right"/>
              <w:rPr>
                <w:rFonts w:ascii="Arial" w:hAnsi="Arial" w:cs="Arial"/>
                <w:sz w:val="22"/>
                <w:szCs w:val="22"/>
                <w:lang w:val="en-PH" w:eastAsia="en-PH"/>
              </w:rPr>
            </w:pPr>
            <w:r w:rsidRPr="00495094">
              <w:rPr>
                <w:rFonts w:ascii="Arial" w:hAnsi="Arial" w:cs="Arial"/>
                <w:sz w:val="22"/>
                <w:szCs w:val="22"/>
                <w:lang w:val="en-PH" w:eastAsia="en-PH"/>
              </w:rPr>
              <w:t>52</w:t>
            </w:r>
            <w:r w:rsidR="004520DB" w:rsidRPr="00495094">
              <w:rPr>
                <w:rFonts w:ascii="Arial" w:hAnsi="Arial" w:cs="Arial"/>
                <w:sz w:val="22"/>
                <w:szCs w:val="22"/>
                <w:lang w:val="en-PH" w:eastAsia="en-PH"/>
              </w:rPr>
              <w:t>,</w:t>
            </w:r>
            <w:r w:rsidRPr="00495094">
              <w:rPr>
                <w:rFonts w:ascii="Arial" w:hAnsi="Arial" w:cs="Arial"/>
                <w:sz w:val="22"/>
                <w:szCs w:val="22"/>
                <w:lang w:val="en-PH" w:eastAsia="en-PH"/>
              </w:rPr>
              <w:t>020</w:t>
            </w:r>
          </w:p>
        </w:tc>
      </w:tr>
      <w:tr w:rsidR="00495094" w:rsidRPr="00495094" w14:paraId="251EC8A4" w14:textId="77777777" w:rsidTr="00EA6D85">
        <w:trPr>
          <w:trHeight w:val="142"/>
        </w:trPr>
        <w:tc>
          <w:tcPr>
            <w:tcW w:w="5279" w:type="dxa"/>
            <w:gridSpan w:val="2"/>
            <w:shd w:val="clear" w:color="auto" w:fill="auto"/>
            <w:noWrap/>
            <w:vAlign w:val="bottom"/>
            <w:hideMark/>
          </w:tcPr>
          <w:p w14:paraId="36261501" w14:textId="77777777" w:rsidR="00042335" w:rsidRPr="00495094" w:rsidRDefault="00042335" w:rsidP="00FE50D1">
            <w:pPr>
              <w:jc w:val="left"/>
              <w:rPr>
                <w:rFonts w:ascii="Arial" w:hAnsi="Arial" w:cs="Arial"/>
                <w:sz w:val="22"/>
                <w:szCs w:val="22"/>
                <w:u w:val="single"/>
                <w:lang w:val="en-PH" w:eastAsia="en-PH"/>
              </w:rPr>
            </w:pPr>
            <w:r w:rsidRPr="00495094">
              <w:rPr>
                <w:rFonts w:ascii="Arial" w:hAnsi="Arial" w:cs="Arial"/>
                <w:sz w:val="22"/>
                <w:szCs w:val="22"/>
                <w:lang w:val="en-PH" w:eastAsia="en-PH"/>
              </w:rPr>
              <w:t xml:space="preserve">National </w:t>
            </w:r>
          </w:p>
        </w:tc>
        <w:tc>
          <w:tcPr>
            <w:tcW w:w="2966" w:type="dxa"/>
            <w:shd w:val="clear" w:color="auto" w:fill="auto"/>
            <w:noWrap/>
            <w:vAlign w:val="bottom"/>
            <w:hideMark/>
          </w:tcPr>
          <w:p w14:paraId="6E0085ED" w14:textId="77777777" w:rsidR="00042335" w:rsidRPr="00495094" w:rsidRDefault="00042335" w:rsidP="00FE50D1">
            <w:pPr>
              <w:jc w:val="left"/>
              <w:rPr>
                <w:rFonts w:ascii="Arial" w:hAnsi="Arial" w:cs="Arial"/>
                <w:sz w:val="22"/>
                <w:szCs w:val="22"/>
                <w:u w:val="single"/>
                <w:lang w:val="en-PH" w:eastAsia="en-PH"/>
              </w:rPr>
            </w:pPr>
          </w:p>
        </w:tc>
      </w:tr>
      <w:tr w:rsidR="00495094" w:rsidRPr="00495094" w14:paraId="04DCE09C" w14:textId="77777777" w:rsidTr="00EA6D85">
        <w:trPr>
          <w:trHeight w:val="229"/>
        </w:trPr>
        <w:tc>
          <w:tcPr>
            <w:tcW w:w="289" w:type="dxa"/>
            <w:shd w:val="clear" w:color="auto" w:fill="auto"/>
            <w:noWrap/>
            <w:vAlign w:val="bottom"/>
            <w:hideMark/>
          </w:tcPr>
          <w:p w14:paraId="2903F2A7" w14:textId="77777777" w:rsidR="000416CC" w:rsidRPr="00495094" w:rsidRDefault="000416CC" w:rsidP="00FE50D1">
            <w:pPr>
              <w:jc w:val="left"/>
              <w:rPr>
                <w:rFonts w:ascii="Arial" w:hAnsi="Arial" w:cs="Arial"/>
                <w:sz w:val="22"/>
                <w:szCs w:val="22"/>
                <w:lang w:val="en-PH" w:eastAsia="en-PH"/>
              </w:rPr>
            </w:pPr>
          </w:p>
        </w:tc>
        <w:tc>
          <w:tcPr>
            <w:tcW w:w="4990" w:type="dxa"/>
            <w:shd w:val="clear" w:color="auto" w:fill="auto"/>
            <w:noWrap/>
            <w:vAlign w:val="bottom"/>
            <w:hideMark/>
          </w:tcPr>
          <w:p w14:paraId="1780B78E" w14:textId="77777777" w:rsidR="000416CC" w:rsidRPr="00495094" w:rsidRDefault="000416CC" w:rsidP="00FE50D1">
            <w:pPr>
              <w:jc w:val="left"/>
              <w:rPr>
                <w:rFonts w:ascii="Arial" w:hAnsi="Arial" w:cs="Arial"/>
                <w:sz w:val="22"/>
                <w:szCs w:val="22"/>
                <w:lang w:val="en-PH" w:eastAsia="en-PH"/>
              </w:rPr>
            </w:pPr>
            <w:r w:rsidRPr="00495094">
              <w:rPr>
                <w:rFonts w:ascii="Arial" w:hAnsi="Arial" w:cs="Arial"/>
                <w:sz w:val="22"/>
                <w:szCs w:val="22"/>
                <w:lang w:val="en-PH" w:eastAsia="en-PH"/>
              </w:rPr>
              <w:t>BIR annual registration</w:t>
            </w:r>
          </w:p>
        </w:tc>
        <w:tc>
          <w:tcPr>
            <w:tcW w:w="2966" w:type="dxa"/>
            <w:shd w:val="clear" w:color="auto" w:fill="auto"/>
            <w:noWrap/>
            <w:vAlign w:val="bottom"/>
            <w:hideMark/>
          </w:tcPr>
          <w:p w14:paraId="400E6F9E" w14:textId="1925FB90" w:rsidR="000416CC" w:rsidRPr="00495094" w:rsidRDefault="004520DB" w:rsidP="00FE50D1">
            <w:pPr>
              <w:ind w:right="-113"/>
              <w:jc w:val="right"/>
              <w:rPr>
                <w:rFonts w:ascii="Arial" w:hAnsi="Arial" w:cs="Arial"/>
                <w:sz w:val="22"/>
                <w:szCs w:val="22"/>
                <w:lang w:val="en-PH" w:eastAsia="en-PH"/>
              </w:rPr>
            </w:pPr>
            <w:r w:rsidRPr="00495094">
              <w:rPr>
                <w:rFonts w:ascii="Arial" w:hAnsi="Arial" w:cs="Arial"/>
                <w:sz w:val="22"/>
                <w:szCs w:val="22"/>
                <w:lang w:val="en-PH" w:eastAsia="en-PH"/>
              </w:rPr>
              <w:t>500</w:t>
            </w:r>
          </w:p>
        </w:tc>
      </w:tr>
      <w:tr w:rsidR="00495094" w:rsidRPr="00495094" w14:paraId="45F887DD" w14:textId="77777777" w:rsidTr="00EA6D85">
        <w:trPr>
          <w:trHeight w:val="135"/>
        </w:trPr>
        <w:tc>
          <w:tcPr>
            <w:tcW w:w="289" w:type="dxa"/>
            <w:tcBorders>
              <w:bottom w:val="single" w:sz="4" w:space="0" w:color="auto"/>
            </w:tcBorders>
            <w:shd w:val="clear" w:color="auto" w:fill="auto"/>
            <w:noWrap/>
            <w:vAlign w:val="bottom"/>
            <w:hideMark/>
          </w:tcPr>
          <w:p w14:paraId="28A17CD7" w14:textId="77777777" w:rsidR="000416CC" w:rsidRPr="00495094" w:rsidRDefault="000416CC" w:rsidP="00FE50D1">
            <w:pPr>
              <w:jc w:val="right"/>
              <w:rPr>
                <w:rFonts w:ascii="Arial" w:hAnsi="Arial" w:cs="Arial"/>
                <w:sz w:val="22"/>
                <w:szCs w:val="22"/>
                <w:lang w:val="en-PH" w:eastAsia="en-PH"/>
              </w:rPr>
            </w:pPr>
          </w:p>
        </w:tc>
        <w:tc>
          <w:tcPr>
            <w:tcW w:w="4990" w:type="dxa"/>
            <w:tcBorders>
              <w:bottom w:val="single" w:sz="4" w:space="0" w:color="auto"/>
            </w:tcBorders>
            <w:shd w:val="clear" w:color="auto" w:fill="auto"/>
            <w:noWrap/>
            <w:vAlign w:val="bottom"/>
            <w:hideMark/>
          </w:tcPr>
          <w:p w14:paraId="563F1879" w14:textId="66856F0B" w:rsidR="000416CC" w:rsidRPr="00495094" w:rsidRDefault="000416CC" w:rsidP="00FE50D1">
            <w:pPr>
              <w:jc w:val="left"/>
              <w:rPr>
                <w:rFonts w:ascii="Arial" w:hAnsi="Arial" w:cs="Arial"/>
                <w:sz w:val="22"/>
                <w:szCs w:val="22"/>
                <w:lang w:val="en-PH" w:eastAsia="en-PH"/>
              </w:rPr>
            </w:pPr>
            <w:r w:rsidRPr="00495094">
              <w:rPr>
                <w:rFonts w:ascii="Arial" w:hAnsi="Arial" w:cs="Arial"/>
                <w:sz w:val="22"/>
                <w:szCs w:val="22"/>
                <w:lang w:val="en-PH" w:eastAsia="en-PH"/>
              </w:rPr>
              <w:t>Percentage taxes (2551)</w:t>
            </w:r>
            <w:r w:rsidR="00B2062F" w:rsidRPr="00495094">
              <w:rPr>
                <w:rFonts w:ascii="Arial" w:hAnsi="Arial" w:cs="Arial"/>
                <w:sz w:val="22"/>
                <w:szCs w:val="22"/>
                <w:lang w:val="en-PH" w:eastAsia="en-PH"/>
              </w:rPr>
              <w:t xml:space="preserve">                                                                                                                                             </w:t>
            </w:r>
          </w:p>
        </w:tc>
        <w:tc>
          <w:tcPr>
            <w:tcW w:w="2966" w:type="dxa"/>
            <w:tcBorders>
              <w:bottom w:val="single" w:sz="4" w:space="0" w:color="auto"/>
            </w:tcBorders>
            <w:shd w:val="clear" w:color="auto" w:fill="auto"/>
            <w:noWrap/>
            <w:vAlign w:val="bottom"/>
            <w:hideMark/>
          </w:tcPr>
          <w:p w14:paraId="4D9AC807" w14:textId="2801D8D5" w:rsidR="000416CC" w:rsidRPr="00495094" w:rsidRDefault="00B2062F" w:rsidP="00FE50D1">
            <w:pPr>
              <w:ind w:right="-113"/>
              <w:jc w:val="right"/>
              <w:rPr>
                <w:rFonts w:ascii="Arial" w:hAnsi="Arial" w:cs="Arial"/>
                <w:sz w:val="22"/>
                <w:szCs w:val="22"/>
                <w:lang w:val="en-PH" w:eastAsia="en-PH"/>
              </w:rPr>
            </w:pPr>
            <w:r w:rsidRPr="00495094">
              <w:rPr>
                <w:rFonts w:ascii="Arial" w:hAnsi="Arial" w:cs="Arial"/>
                <w:sz w:val="22"/>
                <w:szCs w:val="22"/>
                <w:lang w:val="en-PH" w:eastAsia="en-PH"/>
              </w:rPr>
              <w:t>6,538,116</w:t>
            </w:r>
          </w:p>
        </w:tc>
      </w:tr>
      <w:tr w:rsidR="00495094" w:rsidRPr="00495094" w14:paraId="371B51E0" w14:textId="77777777" w:rsidTr="00EA6D85">
        <w:trPr>
          <w:trHeight w:val="285"/>
        </w:trPr>
        <w:tc>
          <w:tcPr>
            <w:tcW w:w="5279" w:type="dxa"/>
            <w:gridSpan w:val="2"/>
            <w:tcBorders>
              <w:top w:val="single" w:sz="4" w:space="0" w:color="auto"/>
              <w:bottom w:val="double" w:sz="4" w:space="0" w:color="auto"/>
            </w:tcBorders>
            <w:shd w:val="clear" w:color="auto" w:fill="auto"/>
            <w:noWrap/>
            <w:vAlign w:val="bottom"/>
          </w:tcPr>
          <w:p w14:paraId="6A810286" w14:textId="77777777" w:rsidR="000416CC" w:rsidRPr="00495094" w:rsidRDefault="000416CC" w:rsidP="00FE50D1">
            <w:pPr>
              <w:jc w:val="left"/>
              <w:rPr>
                <w:rFonts w:ascii="Arial" w:hAnsi="Arial" w:cs="Arial"/>
                <w:sz w:val="22"/>
                <w:szCs w:val="22"/>
                <w:lang w:val="en-PH" w:eastAsia="en-PH"/>
              </w:rPr>
            </w:pPr>
          </w:p>
        </w:tc>
        <w:tc>
          <w:tcPr>
            <w:tcW w:w="2966" w:type="dxa"/>
            <w:tcBorders>
              <w:top w:val="single" w:sz="4" w:space="0" w:color="auto"/>
              <w:bottom w:val="double" w:sz="4" w:space="0" w:color="auto"/>
            </w:tcBorders>
            <w:shd w:val="clear" w:color="auto" w:fill="auto"/>
            <w:noWrap/>
            <w:vAlign w:val="bottom"/>
          </w:tcPr>
          <w:p w14:paraId="724AB554" w14:textId="510F9C1E" w:rsidR="000416CC" w:rsidRPr="00495094" w:rsidRDefault="00B2062F" w:rsidP="00FE50D1">
            <w:pPr>
              <w:ind w:right="-113"/>
              <w:jc w:val="right"/>
              <w:rPr>
                <w:rFonts w:ascii="Arial" w:hAnsi="Arial" w:cs="Arial"/>
                <w:sz w:val="22"/>
                <w:szCs w:val="22"/>
                <w:lang w:val="en-PH" w:eastAsia="en-PH"/>
              </w:rPr>
            </w:pPr>
            <w:r w:rsidRPr="00495094">
              <w:rPr>
                <w:rFonts w:ascii="Arial" w:hAnsi="Arial" w:cs="Arial"/>
                <w:sz w:val="22"/>
                <w:szCs w:val="22"/>
                <w:lang w:val="en-PH" w:eastAsia="en-PH"/>
              </w:rPr>
              <w:t>6,590,636</w:t>
            </w:r>
          </w:p>
        </w:tc>
      </w:tr>
    </w:tbl>
    <w:p w14:paraId="07021ED0" w14:textId="77777777" w:rsidR="00DB46EE" w:rsidRPr="00495094" w:rsidRDefault="00DB46EE" w:rsidP="00DB46EE">
      <w:pPr>
        <w:pStyle w:val="ListParagraph"/>
        <w:tabs>
          <w:tab w:val="clear" w:pos="1526"/>
        </w:tabs>
        <w:ind w:left="709"/>
        <w:rPr>
          <w:b/>
          <w:bCs/>
        </w:rPr>
      </w:pPr>
    </w:p>
    <w:p w14:paraId="795A006F" w14:textId="77777777" w:rsidR="00993A97" w:rsidRPr="00495094" w:rsidRDefault="00993A97" w:rsidP="00DB46EE">
      <w:pPr>
        <w:pStyle w:val="ListParagraph"/>
        <w:tabs>
          <w:tab w:val="clear" w:pos="1526"/>
        </w:tabs>
        <w:ind w:left="709"/>
        <w:rPr>
          <w:b/>
          <w:bCs/>
        </w:rPr>
      </w:pPr>
    </w:p>
    <w:p w14:paraId="3F8E37A7" w14:textId="77777777" w:rsidR="000416CC" w:rsidRPr="00495094" w:rsidRDefault="000416CC" w:rsidP="007F4EEC">
      <w:pPr>
        <w:pStyle w:val="ListParagraph"/>
        <w:numPr>
          <w:ilvl w:val="0"/>
          <w:numId w:val="5"/>
        </w:numPr>
        <w:tabs>
          <w:tab w:val="clear" w:pos="1526"/>
        </w:tabs>
        <w:ind w:left="709" w:hanging="709"/>
        <w:rPr>
          <w:b/>
          <w:bCs/>
        </w:rPr>
      </w:pPr>
      <w:r w:rsidRPr="00495094">
        <w:rPr>
          <w:b/>
          <w:bCs/>
        </w:rPr>
        <w:t>Withholding Taxes</w:t>
      </w:r>
    </w:p>
    <w:p w14:paraId="4DF9D7D6" w14:textId="77777777" w:rsidR="000416CC" w:rsidRPr="00495094" w:rsidRDefault="000416CC" w:rsidP="000416CC">
      <w:pPr>
        <w:rPr>
          <w:rFonts w:ascii="Arial" w:hAnsi="Arial" w:cs="Arial"/>
          <w:bCs/>
          <w:sz w:val="22"/>
          <w:szCs w:val="22"/>
        </w:rPr>
      </w:pPr>
    </w:p>
    <w:p w14:paraId="04DA023D" w14:textId="77777777" w:rsidR="000416CC" w:rsidRPr="00495094" w:rsidRDefault="000416CC" w:rsidP="000416CC">
      <w:pPr>
        <w:rPr>
          <w:rFonts w:ascii="Arial" w:hAnsi="Arial" w:cs="Arial"/>
          <w:bCs/>
          <w:sz w:val="22"/>
          <w:szCs w:val="22"/>
        </w:rPr>
      </w:pPr>
      <w:r w:rsidRPr="00495094">
        <w:rPr>
          <w:rFonts w:ascii="Arial" w:hAnsi="Arial" w:cs="Arial"/>
          <w:bCs/>
          <w:sz w:val="22"/>
          <w:szCs w:val="22"/>
        </w:rPr>
        <w:t>The amount of withholding taxes paid/accrued for the year amounted to:</w:t>
      </w:r>
    </w:p>
    <w:p w14:paraId="3A949B4D" w14:textId="77777777" w:rsidR="000416CC" w:rsidRPr="00495094" w:rsidRDefault="000416CC" w:rsidP="000416CC">
      <w:pPr>
        <w:rPr>
          <w:rFonts w:ascii="Arial" w:hAnsi="Arial" w:cs="Arial"/>
          <w:bCs/>
          <w:sz w:val="22"/>
          <w:szCs w:val="22"/>
        </w:rPr>
      </w:pPr>
    </w:p>
    <w:tbl>
      <w:tblPr>
        <w:tblW w:w="8207" w:type="dxa"/>
        <w:jc w:val="center"/>
        <w:tblLayout w:type="fixed"/>
        <w:tblLook w:val="04A0" w:firstRow="1" w:lastRow="0" w:firstColumn="1" w:lastColumn="0" w:noHBand="0" w:noVBand="1"/>
      </w:tblPr>
      <w:tblGrid>
        <w:gridCol w:w="5670"/>
        <w:gridCol w:w="2537"/>
      </w:tblGrid>
      <w:tr w:rsidR="00495094" w:rsidRPr="00495094" w14:paraId="63A8D617" w14:textId="77777777" w:rsidTr="007A10F3">
        <w:trPr>
          <w:trHeight w:val="118"/>
          <w:jc w:val="center"/>
        </w:trPr>
        <w:tc>
          <w:tcPr>
            <w:tcW w:w="5670" w:type="dxa"/>
            <w:tcBorders>
              <w:top w:val="single" w:sz="4" w:space="0" w:color="auto"/>
            </w:tcBorders>
            <w:shd w:val="clear" w:color="auto" w:fill="auto"/>
            <w:noWrap/>
            <w:vAlign w:val="center"/>
            <w:hideMark/>
          </w:tcPr>
          <w:p w14:paraId="7216BB33" w14:textId="1C0BAE89" w:rsidR="000416CC" w:rsidRPr="00495094" w:rsidRDefault="000416CC" w:rsidP="00FE50D1">
            <w:pPr>
              <w:rPr>
                <w:rFonts w:ascii="Arial" w:hAnsi="Arial" w:cs="Arial"/>
                <w:sz w:val="22"/>
                <w:szCs w:val="22"/>
                <w:lang w:val="en-PH" w:eastAsia="en-PH"/>
              </w:rPr>
            </w:pPr>
            <w:r w:rsidRPr="00495094">
              <w:rPr>
                <w:rFonts w:ascii="Arial" w:hAnsi="Arial" w:cs="Arial"/>
                <w:sz w:val="22"/>
                <w:szCs w:val="22"/>
                <w:lang w:eastAsia="en-PH"/>
              </w:rPr>
              <w:t>Tax on compensation and benefits</w:t>
            </w:r>
          </w:p>
        </w:tc>
        <w:tc>
          <w:tcPr>
            <w:tcW w:w="2537" w:type="dxa"/>
            <w:tcBorders>
              <w:top w:val="single" w:sz="4" w:space="0" w:color="auto"/>
            </w:tcBorders>
            <w:shd w:val="clear" w:color="auto" w:fill="auto"/>
            <w:noWrap/>
            <w:vAlign w:val="bottom"/>
            <w:hideMark/>
          </w:tcPr>
          <w:p w14:paraId="6D1898BF" w14:textId="73C12073" w:rsidR="000416CC" w:rsidRPr="00495094" w:rsidRDefault="00E976D1" w:rsidP="00D921BD">
            <w:pPr>
              <w:ind w:right="-116"/>
              <w:jc w:val="right"/>
              <w:rPr>
                <w:rFonts w:ascii="Arial" w:hAnsi="Arial" w:cs="Arial"/>
                <w:sz w:val="22"/>
                <w:szCs w:val="22"/>
                <w:lang w:val="en-PH" w:eastAsia="en-PH"/>
              </w:rPr>
            </w:pPr>
            <w:r w:rsidRPr="00495094">
              <w:rPr>
                <w:rFonts w:ascii="Arial" w:hAnsi="Arial" w:cs="Arial"/>
                <w:sz w:val="22"/>
                <w:szCs w:val="22"/>
                <w:lang w:val="en-PH" w:eastAsia="en-PH"/>
              </w:rPr>
              <w:t>387,880</w:t>
            </w:r>
          </w:p>
        </w:tc>
      </w:tr>
      <w:tr w:rsidR="00495094" w:rsidRPr="00495094" w14:paraId="22AC8F63" w14:textId="77777777" w:rsidTr="007A10F3">
        <w:trPr>
          <w:trHeight w:val="272"/>
          <w:jc w:val="center"/>
        </w:trPr>
        <w:tc>
          <w:tcPr>
            <w:tcW w:w="5670" w:type="dxa"/>
            <w:shd w:val="clear" w:color="auto" w:fill="auto"/>
            <w:noWrap/>
            <w:vAlign w:val="center"/>
            <w:hideMark/>
          </w:tcPr>
          <w:p w14:paraId="5F2A1030" w14:textId="5EC26A92" w:rsidR="000416CC" w:rsidRPr="00495094" w:rsidRDefault="000416CC" w:rsidP="00FE50D1">
            <w:pPr>
              <w:rPr>
                <w:rFonts w:ascii="Arial" w:hAnsi="Arial" w:cs="Arial"/>
                <w:sz w:val="22"/>
                <w:szCs w:val="22"/>
                <w:lang w:val="en-PH" w:eastAsia="en-PH"/>
              </w:rPr>
            </w:pPr>
            <w:r w:rsidRPr="00495094">
              <w:rPr>
                <w:rFonts w:ascii="Arial" w:hAnsi="Arial" w:cs="Arial"/>
                <w:sz w:val="22"/>
                <w:szCs w:val="22"/>
                <w:lang w:eastAsia="en-PH"/>
              </w:rPr>
              <w:t>Creditable withholding taxes</w:t>
            </w:r>
          </w:p>
        </w:tc>
        <w:tc>
          <w:tcPr>
            <w:tcW w:w="2537" w:type="dxa"/>
            <w:shd w:val="clear" w:color="auto" w:fill="auto"/>
            <w:noWrap/>
            <w:vAlign w:val="bottom"/>
            <w:hideMark/>
          </w:tcPr>
          <w:p w14:paraId="6BBBE77D" w14:textId="3884693A" w:rsidR="000416CC" w:rsidRPr="00495094" w:rsidRDefault="00E976D1" w:rsidP="00D921BD">
            <w:pPr>
              <w:ind w:right="-116"/>
              <w:jc w:val="right"/>
              <w:rPr>
                <w:rFonts w:ascii="Arial" w:hAnsi="Arial" w:cs="Arial"/>
                <w:sz w:val="22"/>
                <w:szCs w:val="22"/>
              </w:rPr>
            </w:pPr>
            <w:r w:rsidRPr="00495094">
              <w:rPr>
                <w:rFonts w:ascii="Arial" w:hAnsi="Arial" w:cs="Arial"/>
                <w:sz w:val="22"/>
                <w:szCs w:val="22"/>
              </w:rPr>
              <w:t>349,467</w:t>
            </w:r>
          </w:p>
        </w:tc>
      </w:tr>
      <w:tr w:rsidR="00495094" w:rsidRPr="00495094" w14:paraId="04FB6FB4" w14:textId="77777777" w:rsidTr="007A10F3">
        <w:trPr>
          <w:trHeight w:val="149"/>
          <w:jc w:val="center"/>
        </w:trPr>
        <w:tc>
          <w:tcPr>
            <w:tcW w:w="5670" w:type="dxa"/>
            <w:shd w:val="clear" w:color="auto" w:fill="auto"/>
            <w:noWrap/>
            <w:vAlign w:val="center"/>
            <w:hideMark/>
          </w:tcPr>
          <w:p w14:paraId="51058EDF" w14:textId="24D643D3" w:rsidR="000416CC" w:rsidRPr="00495094" w:rsidRDefault="000416CC" w:rsidP="00FE50D1">
            <w:pPr>
              <w:rPr>
                <w:rFonts w:ascii="Arial" w:hAnsi="Arial" w:cs="Arial"/>
                <w:sz w:val="22"/>
                <w:szCs w:val="22"/>
                <w:lang w:val="en-PH" w:eastAsia="en-PH"/>
              </w:rPr>
            </w:pPr>
            <w:r w:rsidRPr="00495094">
              <w:rPr>
                <w:rFonts w:ascii="Arial" w:hAnsi="Arial" w:cs="Arial"/>
                <w:sz w:val="22"/>
                <w:szCs w:val="22"/>
                <w:lang w:eastAsia="en-PH"/>
              </w:rPr>
              <w:t>Final withholding taxes</w:t>
            </w:r>
          </w:p>
        </w:tc>
        <w:tc>
          <w:tcPr>
            <w:tcW w:w="2537" w:type="dxa"/>
            <w:shd w:val="clear" w:color="auto" w:fill="auto"/>
            <w:noWrap/>
            <w:vAlign w:val="bottom"/>
            <w:hideMark/>
          </w:tcPr>
          <w:p w14:paraId="5D46ECE8" w14:textId="77777777" w:rsidR="000416CC" w:rsidRPr="00495094" w:rsidRDefault="000416CC" w:rsidP="00D921BD">
            <w:pPr>
              <w:ind w:right="-116"/>
              <w:jc w:val="right"/>
              <w:rPr>
                <w:rFonts w:ascii="Arial" w:hAnsi="Arial" w:cs="Arial"/>
                <w:sz w:val="22"/>
                <w:szCs w:val="22"/>
              </w:rPr>
            </w:pPr>
          </w:p>
        </w:tc>
      </w:tr>
      <w:tr w:rsidR="00495094" w:rsidRPr="00495094" w14:paraId="3EE5709A" w14:textId="77777777" w:rsidTr="007A10F3">
        <w:trPr>
          <w:trHeight w:val="215"/>
          <w:jc w:val="center"/>
        </w:trPr>
        <w:tc>
          <w:tcPr>
            <w:tcW w:w="5670" w:type="dxa"/>
            <w:shd w:val="clear" w:color="auto" w:fill="auto"/>
            <w:noWrap/>
            <w:vAlign w:val="center"/>
            <w:hideMark/>
          </w:tcPr>
          <w:p w14:paraId="3CF903B0" w14:textId="04A3161A" w:rsidR="000416CC" w:rsidRPr="00495094" w:rsidRDefault="000416CC" w:rsidP="00042335">
            <w:pPr>
              <w:ind w:firstLine="318"/>
              <w:rPr>
                <w:rFonts w:ascii="Arial" w:hAnsi="Arial" w:cs="Arial"/>
                <w:sz w:val="22"/>
                <w:szCs w:val="22"/>
                <w:lang w:val="en-PH" w:eastAsia="en-PH"/>
              </w:rPr>
            </w:pPr>
            <w:r w:rsidRPr="00495094">
              <w:rPr>
                <w:rFonts w:ascii="Arial" w:hAnsi="Arial" w:cs="Arial"/>
                <w:sz w:val="22"/>
                <w:szCs w:val="22"/>
                <w:lang w:eastAsia="en-PH"/>
              </w:rPr>
              <w:t>Final income taxes</w:t>
            </w:r>
          </w:p>
        </w:tc>
        <w:tc>
          <w:tcPr>
            <w:tcW w:w="2537" w:type="dxa"/>
            <w:shd w:val="clear" w:color="auto" w:fill="auto"/>
            <w:noWrap/>
            <w:vAlign w:val="bottom"/>
            <w:hideMark/>
          </w:tcPr>
          <w:p w14:paraId="380F52BA" w14:textId="256FD184" w:rsidR="000416CC" w:rsidRPr="00495094" w:rsidRDefault="00E976D1" w:rsidP="00D921BD">
            <w:pPr>
              <w:ind w:right="-116"/>
              <w:jc w:val="right"/>
              <w:rPr>
                <w:rFonts w:ascii="Arial" w:hAnsi="Arial" w:cs="Arial"/>
                <w:sz w:val="22"/>
                <w:szCs w:val="22"/>
              </w:rPr>
            </w:pPr>
            <w:r w:rsidRPr="00495094">
              <w:rPr>
                <w:rFonts w:ascii="Arial" w:hAnsi="Arial" w:cs="Arial"/>
                <w:sz w:val="22"/>
                <w:szCs w:val="22"/>
              </w:rPr>
              <w:t>1,553,410</w:t>
            </w:r>
          </w:p>
        </w:tc>
      </w:tr>
      <w:tr w:rsidR="00495094" w:rsidRPr="00495094" w14:paraId="5F0B31C2" w14:textId="77777777" w:rsidTr="007A10F3">
        <w:trPr>
          <w:trHeight w:val="272"/>
          <w:jc w:val="center"/>
        </w:trPr>
        <w:tc>
          <w:tcPr>
            <w:tcW w:w="5670" w:type="dxa"/>
            <w:tcBorders>
              <w:bottom w:val="single" w:sz="4" w:space="0" w:color="auto"/>
            </w:tcBorders>
            <w:shd w:val="clear" w:color="auto" w:fill="auto"/>
            <w:noWrap/>
            <w:vAlign w:val="center"/>
            <w:hideMark/>
          </w:tcPr>
          <w:p w14:paraId="031DA548" w14:textId="226626F9" w:rsidR="000416CC" w:rsidRPr="00495094" w:rsidRDefault="00042335" w:rsidP="00042335">
            <w:pPr>
              <w:tabs>
                <w:tab w:val="left" w:pos="318"/>
              </w:tabs>
              <w:rPr>
                <w:rFonts w:ascii="Arial" w:hAnsi="Arial" w:cs="Arial"/>
                <w:sz w:val="22"/>
                <w:szCs w:val="22"/>
                <w:lang w:val="en-PH" w:eastAsia="en-PH"/>
              </w:rPr>
            </w:pPr>
            <w:r w:rsidRPr="00495094">
              <w:rPr>
                <w:rFonts w:ascii="Arial" w:hAnsi="Arial" w:cs="Arial"/>
                <w:sz w:val="22"/>
                <w:szCs w:val="22"/>
                <w:lang w:eastAsia="en-PH"/>
              </w:rPr>
              <w:tab/>
            </w:r>
            <w:r w:rsidR="000416CC" w:rsidRPr="00495094">
              <w:rPr>
                <w:rFonts w:ascii="Arial" w:hAnsi="Arial" w:cs="Arial"/>
                <w:sz w:val="22"/>
                <w:szCs w:val="22"/>
                <w:lang w:eastAsia="en-PH"/>
              </w:rPr>
              <w:t>Final withholding VAT</w:t>
            </w:r>
          </w:p>
        </w:tc>
        <w:tc>
          <w:tcPr>
            <w:tcW w:w="2537" w:type="dxa"/>
            <w:tcBorders>
              <w:bottom w:val="single" w:sz="4" w:space="0" w:color="auto"/>
            </w:tcBorders>
            <w:shd w:val="clear" w:color="auto" w:fill="auto"/>
            <w:noWrap/>
            <w:vAlign w:val="bottom"/>
            <w:hideMark/>
          </w:tcPr>
          <w:p w14:paraId="235A6CC3" w14:textId="1F665C9C" w:rsidR="000416CC" w:rsidRPr="00495094" w:rsidRDefault="00E976D1" w:rsidP="00D921BD">
            <w:pPr>
              <w:ind w:right="-116"/>
              <w:jc w:val="right"/>
              <w:rPr>
                <w:rFonts w:ascii="Arial" w:hAnsi="Arial" w:cs="Arial"/>
                <w:sz w:val="22"/>
                <w:szCs w:val="22"/>
              </w:rPr>
            </w:pPr>
            <w:r w:rsidRPr="00495094">
              <w:rPr>
                <w:rFonts w:ascii="Arial" w:hAnsi="Arial" w:cs="Arial"/>
                <w:sz w:val="22"/>
                <w:szCs w:val="22"/>
              </w:rPr>
              <w:t>347,247</w:t>
            </w:r>
          </w:p>
        </w:tc>
      </w:tr>
      <w:tr w:rsidR="000416CC" w:rsidRPr="00495094" w14:paraId="4DA7C32A" w14:textId="77777777" w:rsidTr="007A10F3">
        <w:trPr>
          <w:trHeight w:val="207"/>
          <w:jc w:val="center"/>
        </w:trPr>
        <w:tc>
          <w:tcPr>
            <w:tcW w:w="5670" w:type="dxa"/>
            <w:tcBorders>
              <w:top w:val="single" w:sz="4" w:space="0" w:color="auto"/>
              <w:bottom w:val="double" w:sz="4" w:space="0" w:color="auto"/>
            </w:tcBorders>
            <w:shd w:val="clear" w:color="auto" w:fill="auto"/>
            <w:noWrap/>
            <w:vAlign w:val="center"/>
          </w:tcPr>
          <w:p w14:paraId="4B80C3CE" w14:textId="77777777" w:rsidR="000416CC" w:rsidRPr="00495094" w:rsidRDefault="000416CC" w:rsidP="00AF0ED0">
            <w:pPr>
              <w:rPr>
                <w:rFonts w:ascii="Arial" w:hAnsi="Arial" w:cs="Arial"/>
                <w:sz w:val="22"/>
                <w:szCs w:val="22"/>
                <w:lang w:eastAsia="en-PH"/>
              </w:rPr>
            </w:pPr>
          </w:p>
        </w:tc>
        <w:tc>
          <w:tcPr>
            <w:tcW w:w="2537" w:type="dxa"/>
            <w:tcBorders>
              <w:top w:val="single" w:sz="4" w:space="0" w:color="auto"/>
              <w:bottom w:val="double" w:sz="4" w:space="0" w:color="auto"/>
            </w:tcBorders>
            <w:shd w:val="clear" w:color="auto" w:fill="auto"/>
            <w:noWrap/>
            <w:vAlign w:val="bottom"/>
          </w:tcPr>
          <w:p w14:paraId="25E497FE" w14:textId="122F4D57" w:rsidR="000416CC" w:rsidRPr="00495094" w:rsidRDefault="00E976D1" w:rsidP="00AF0ED0">
            <w:pPr>
              <w:ind w:right="-116"/>
              <w:jc w:val="right"/>
              <w:rPr>
                <w:rFonts w:ascii="Arial" w:hAnsi="Arial" w:cs="Arial"/>
                <w:sz w:val="22"/>
                <w:szCs w:val="22"/>
              </w:rPr>
            </w:pPr>
            <w:r w:rsidRPr="00495094">
              <w:rPr>
                <w:rFonts w:ascii="Arial" w:hAnsi="Arial" w:cs="Arial"/>
                <w:sz w:val="22"/>
                <w:szCs w:val="22"/>
              </w:rPr>
              <w:t>2,638,004</w:t>
            </w:r>
          </w:p>
        </w:tc>
      </w:tr>
    </w:tbl>
    <w:p w14:paraId="3FAA381A" w14:textId="77777777" w:rsidR="004738AB" w:rsidRPr="00495094" w:rsidRDefault="004738AB" w:rsidP="004738AB">
      <w:pPr>
        <w:ind w:left="720"/>
        <w:rPr>
          <w:rFonts w:ascii="Arial" w:hAnsi="Arial" w:cs="Arial"/>
          <w:b/>
          <w:bCs/>
          <w:sz w:val="22"/>
          <w:szCs w:val="22"/>
        </w:rPr>
      </w:pPr>
    </w:p>
    <w:p w14:paraId="003700BC" w14:textId="77777777" w:rsidR="004738AB" w:rsidRPr="00495094" w:rsidRDefault="004738AB" w:rsidP="004738AB">
      <w:pPr>
        <w:ind w:left="720"/>
        <w:rPr>
          <w:rFonts w:ascii="Arial" w:hAnsi="Arial" w:cs="Arial"/>
          <w:b/>
          <w:bCs/>
          <w:sz w:val="22"/>
          <w:szCs w:val="22"/>
        </w:rPr>
      </w:pPr>
    </w:p>
    <w:p w14:paraId="699997E4" w14:textId="77777777" w:rsidR="000416CC" w:rsidRPr="00495094" w:rsidRDefault="000416CC" w:rsidP="007F4EEC">
      <w:pPr>
        <w:numPr>
          <w:ilvl w:val="0"/>
          <w:numId w:val="12"/>
        </w:numPr>
        <w:ind w:left="720"/>
        <w:rPr>
          <w:rFonts w:ascii="Arial" w:hAnsi="Arial" w:cs="Arial"/>
          <w:b/>
          <w:bCs/>
          <w:sz w:val="22"/>
          <w:szCs w:val="22"/>
        </w:rPr>
      </w:pPr>
      <w:r w:rsidRPr="00495094">
        <w:rPr>
          <w:rFonts w:ascii="Arial" w:hAnsi="Arial" w:cs="Arial"/>
          <w:b/>
          <w:bCs/>
          <w:sz w:val="22"/>
          <w:szCs w:val="22"/>
        </w:rPr>
        <w:t>Related Party Transactions</w:t>
      </w:r>
    </w:p>
    <w:p w14:paraId="446506C8" w14:textId="77777777" w:rsidR="000416CC" w:rsidRPr="00495094" w:rsidRDefault="000416CC" w:rsidP="000416CC">
      <w:pPr>
        <w:rPr>
          <w:rFonts w:ascii="Arial" w:hAnsi="Arial" w:cs="Arial"/>
          <w:b/>
          <w:bCs/>
          <w:sz w:val="22"/>
          <w:szCs w:val="22"/>
          <w:u w:val="single"/>
        </w:rPr>
      </w:pPr>
    </w:p>
    <w:p w14:paraId="72C1F148" w14:textId="0F10078E" w:rsidR="000416CC" w:rsidRPr="00495094" w:rsidRDefault="000416CC" w:rsidP="000416CC">
      <w:pPr>
        <w:rPr>
          <w:rFonts w:ascii="Arial" w:hAnsi="Arial" w:cs="Arial"/>
          <w:sz w:val="22"/>
          <w:szCs w:val="22"/>
        </w:rPr>
      </w:pPr>
      <w:r w:rsidRPr="00495094">
        <w:rPr>
          <w:rFonts w:ascii="Arial" w:hAnsi="Arial" w:cs="Arial"/>
          <w:sz w:val="22"/>
          <w:szCs w:val="22"/>
        </w:rPr>
        <w:t xml:space="preserve">In the ordinary course of business, the </w:t>
      </w:r>
      <w:r w:rsidR="00AF0ED0" w:rsidRPr="00495094">
        <w:rPr>
          <w:rFonts w:ascii="Arial" w:hAnsi="Arial" w:cs="Arial"/>
          <w:sz w:val="22"/>
          <w:szCs w:val="22"/>
        </w:rPr>
        <w:t>B</w:t>
      </w:r>
      <w:r w:rsidRPr="00495094">
        <w:rPr>
          <w:rFonts w:ascii="Arial" w:hAnsi="Arial" w:cs="Arial"/>
          <w:sz w:val="22"/>
          <w:szCs w:val="22"/>
        </w:rPr>
        <w:t xml:space="preserve">ank has deposits and other transactions </w:t>
      </w:r>
      <w:r w:rsidR="004E6E73" w:rsidRPr="00495094">
        <w:rPr>
          <w:rFonts w:ascii="Arial" w:hAnsi="Arial" w:cs="Arial"/>
          <w:sz w:val="22"/>
          <w:szCs w:val="22"/>
        </w:rPr>
        <w:t>in 20</w:t>
      </w:r>
      <w:r w:rsidR="00FA2E78" w:rsidRPr="00495094">
        <w:rPr>
          <w:rFonts w:ascii="Arial" w:hAnsi="Arial" w:cs="Arial"/>
          <w:sz w:val="22"/>
          <w:szCs w:val="22"/>
        </w:rPr>
        <w:t>22</w:t>
      </w:r>
      <w:r w:rsidR="006C6BD0" w:rsidRPr="00495094">
        <w:rPr>
          <w:rFonts w:ascii="Arial" w:hAnsi="Arial" w:cs="Arial"/>
          <w:sz w:val="22"/>
          <w:szCs w:val="22"/>
        </w:rPr>
        <w:t xml:space="preserve"> </w:t>
      </w:r>
      <w:r w:rsidRPr="00495094">
        <w:rPr>
          <w:rFonts w:ascii="Arial" w:hAnsi="Arial" w:cs="Arial"/>
          <w:sz w:val="22"/>
          <w:szCs w:val="22"/>
        </w:rPr>
        <w:t xml:space="preserve">with its </w:t>
      </w:r>
      <w:r w:rsidR="004E6E73" w:rsidRPr="00495094">
        <w:rPr>
          <w:rFonts w:ascii="Arial" w:hAnsi="Arial" w:cs="Arial"/>
          <w:sz w:val="22"/>
          <w:szCs w:val="22"/>
        </w:rPr>
        <w:t xml:space="preserve">parent, </w:t>
      </w:r>
      <w:r w:rsidRPr="00495094">
        <w:rPr>
          <w:rFonts w:ascii="Arial" w:hAnsi="Arial" w:cs="Arial"/>
          <w:sz w:val="22"/>
          <w:szCs w:val="22"/>
        </w:rPr>
        <w:t>LBP, as follows:</w:t>
      </w:r>
    </w:p>
    <w:p w14:paraId="1D4E1617" w14:textId="77777777" w:rsidR="004520DB" w:rsidRPr="00495094" w:rsidRDefault="004520DB" w:rsidP="000416CC">
      <w:pPr>
        <w:ind w:left="720"/>
        <w:rPr>
          <w:rFonts w:ascii="Arial" w:hAnsi="Arial" w:cs="Arial"/>
          <w:sz w:val="22"/>
          <w:szCs w:val="22"/>
        </w:rPr>
      </w:pPr>
    </w:p>
    <w:tbl>
      <w:tblPr>
        <w:tblW w:w="8229" w:type="dxa"/>
        <w:tblInd w:w="108" w:type="dxa"/>
        <w:tblLook w:val="04A0" w:firstRow="1" w:lastRow="0" w:firstColumn="1" w:lastColumn="0" w:noHBand="0" w:noVBand="1"/>
      </w:tblPr>
      <w:tblGrid>
        <w:gridCol w:w="5421"/>
        <w:gridCol w:w="813"/>
        <w:gridCol w:w="1995"/>
      </w:tblGrid>
      <w:tr w:rsidR="00495094" w:rsidRPr="00495094" w14:paraId="6E9D832D" w14:textId="77777777" w:rsidTr="007A10F3">
        <w:trPr>
          <w:trHeight w:val="193"/>
          <w:tblHeader/>
        </w:trPr>
        <w:tc>
          <w:tcPr>
            <w:tcW w:w="5421" w:type="dxa"/>
            <w:tcBorders>
              <w:top w:val="single" w:sz="4" w:space="0" w:color="auto"/>
              <w:bottom w:val="single" w:sz="4" w:space="0" w:color="auto"/>
              <w:right w:val="nil"/>
            </w:tcBorders>
            <w:shd w:val="clear" w:color="auto" w:fill="auto"/>
            <w:vAlign w:val="center"/>
            <w:hideMark/>
          </w:tcPr>
          <w:p w14:paraId="6453BCA9" w14:textId="14D60934" w:rsidR="004520DB" w:rsidRPr="00495094" w:rsidRDefault="004520DB" w:rsidP="004520DB">
            <w:pPr>
              <w:jc w:val="left"/>
              <w:rPr>
                <w:rFonts w:ascii="Arial" w:hAnsi="Arial" w:cs="Arial"/>
                <w:sz w:val="22"/>
                <w:szCs w:val="22"/>
                <w:lang w:val="en-PH" w:eastAsia="en-PH"/>
              </w:rPr>
            </w:pPr>
            <w:r w:rsidRPr="00495094">
              <w:rPr>
                <w:rFonts w:ascii="Arial" w:hAnsi="Arial" w:cs="Arial"/>
                <w:sz w:val="22"/>
                <w:szCs w:val="22"/>
                <w:lang w:val="en-PH" w:eastAsia="en-PH"/>
              </w:rPr>
              <w:t> </w:t>
            </w:r>
          </w:p>
        </w:tc>
        <w:tc>
          <w:tcPr>
            <w:tcW w:w="813" w:type="dxa"/>
            <w:tcBorders>
              <w:top w:val="single" w:sz="4" w:space="0" w:color="auto"/>
              <w:left w:val="nil"/>
              <w:bottom w:val="single" w:sz="4" w:space="0" w:color="auto"/>
              <w:right w:val="nil"/>
            </w:tcBorders>
            <w:shd w:val="clear" w:color="auto" w:fill="auto"/>
            <w:vAlign w:val="center"/>
            <w:hideMark/>
          </w:tcPr>
          <w:p w14:paraId="7B798C56" w14:textId="15B32AA6" w:rsidR="004520DB" w:rsidRPr="00495094" w:rsidRDefault="004520DB" w:rsidP="004520DB">
            <w:pPr>
              <w:jc w:val="left"/>
              <w:rPr>
                <w:rFonts w:ascii="Arial" w:hAnsi="Arial" w:cs="Arial"/>
                <w:b/>
                <w:bCs/>
                <w:sz w:val="22"/>
                <w:szCs w:val="22"/>
                <w:lang w:val="en-PH" w:eastAsia="en-PH"/>
              </w:rPr>
            </w:pPr>
            <w:r w:rsidRPr="00495094">
              <w:rPr>
                <w:rFonts w:ascii="Arial" w:hAnsi="Arial" w:cs="Arial"/>
                <w:b/>
                <w:bCs/>
                <w:sz w:val="22"/>
                <w:szCs w:val="22"/>
                <w:lang w:val="en-PH" w:eastAsia="en-PH"/>
              </w:rPr>
              <w:t> </w:t>
            </w:r>
          </w:p>
        </w:tc>
        <w:tc>
          <w:tcPr>
            <w:tcW w:w="1995" w:type="dxa"/>
            <w:tcBorders>
              <w:top w:val="single" w:sz="4" w:space="0" w:color="auto"/>
              <w:left w:val="nil"/>
              <w:bottom w:val="single" w:sz="4" w:space="0" w:color="auto"/>
              <w:right w:val="nil"/>
            </w:tcBorders>
            <w:shd w:val="clear" w:color="auto" w:fill="auto"/>
            <w:vAlign w:val="center"/>
            <w:hideMark/>
          </w:tcPr>
          <w:p w14:paraId="0109C37F" w14:textId="32AA1BCF" w:rsidR="004520DB" w:rsidRPr="00495094" w:rsidRDefault="004520DB" w:rsidP="004520DB">
            <w:pPr>
              <w:jc w:val="center"/>
              <w:rPr>
                <w:rFonts w:ascii="Arial" w:hAnsi="Arial" w:cs="Arial"/>
                <w:b/>
                <w:bCs/>
                <w:sz w:val="22"/>
                <w:szCs w:val="22"/>
                <w:lang w:val="en-PH" w:eastAsia="en-PH"/>
              </w:rPr>
            </w:pPr>
            <w:r w:rsidRPr="00495094">
              <w:rPr>
                <w:rFonts w:ascii="Arial" w:hAnsi="Arial" w:cs="Arial"/>
                <w:b/>
                <w:bCs/>
                <w:sz w:val="22"/>
                <w:szCs w:val="22"/>
                <w:lang w:eastAsia="en-PH"/>
              </w:rPr>
              <w:t>Amount</w:t>
            </w:r>
          </w:p>
        </w:tc>
      </w:tr>
      <w:tr w:rsidR="00495094" w:rsidRPr="00495094" w14:paraId="30049106" w14:textId="77777777" w:rsidTr="007A10F3">
        <w:trPr>
          <w:trHeight w:val="116"/>
        </w:trPr>
        <w:tc>
          <w:tcPr>
            <w:tcW w:w="5421" w:type="dxa"/>
            <w:tcBorders>
              <w:top w:val="nil"/>
              <w:bottom w:val="nil"/>
              <w:right w:val="nil"/>
            </w:tcBorders>
            <w:shd w:val="clear" w:color="auto" w:fill="auto"/>
            <w:vAlign w:val="center"/>
            <w:hideMark/>
          </w:tcPr>
          <w:p w14:paraId="2BBE3D5A" w14:textId="002640D8"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eastAsia="en-PH"/>
              </w:rPr>
              <w:t>Due from other banks</w:t>
            </w:r>
          </w:p>
        </w:tc>
        <w:tc>
          <w:tcPr>
            <w:tcW w:w="813" w:type="dxa"/>
            <w:tcBorders>
              <w:top w:val="nil"/>
              <w:left w:val="nil"/>
              <w:bottom w:val="nil"/>
              <w:right w:val="nil"/>
            </w:tcBorders>
            <w:shd w:val="clear" w:color="auto" w:fill="auto"/>
            <w:vAlign w:val="center"/>
            <w:hideMark/>
          </w:tcPr>
          <w:p w14:paraId="3C446935"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vAlign w:val="center"/>
            <w:hideMark/>
          </w:tcPr>
          <w:p w14:paraId="2784E2FB" w14:textId="69C94236" w:rsidR="00D921BD" w:rsidRPr="00495094" w:rsidRDefault="00864A8F" w:rsidP="00D921BD">
            <w:pPr>
              <w:jc w:val="right"/>
              <w:rPr>
                <w:rFonts w:ascii="Arial" w:hAnsi="Arial" w:cs="Arial"/>
                <w:sz w:val="22"/>
                <w:szCs w:val="22"/>
                <w:lang w:val="en-PH" w:eastAsia="en-PH"/>
              </w:rPr>
            </w:pPr>
            <w:r w:rsidRPr="00495094">
              <w:rPr>
                <w:rFonts w:ascii="Arial" w:hAnsi="Arial" w:cs="Arial"/>
                <w:sz w:val="22"/>
                <w:szCs w:val="22"/>
                <w:lang w:val="en-PH" w:eastAsia="en-PH"/>
              </w:rPr>
              <w:t>31,662,362</w:t>
            </w:r>
          </w:p>
        </w:tc>
      </w:tr>
      <w:tr w:rsidR="00495094" w:rsidRPr="00495094" w14:paraId="5E281E98" w14:textId="77777777" w:rsidTr="007A10F3">
        <w:trPr>
          <w:trHeight w:val="143"/>
        </w:trPr>
        <w:tc>
          <w:tcPr>
            <w:tcW w:w="5421" w:type="dxa"/>
            <w:tcBorders>
              <w:top w:val="nil"/>
              <w:bottom w:val="nil"/>
              <w:right w:val="nil"/>
            </w:tcBorders>
            <w:shd w:val="clear" w:color="auto" w:fill="auto"/>
            <w:vAlign w:val="center"/>
            <w:hideMark/>
          </w:tcPr>
          <w:p w14:paraId="3A3C64DA" w14:textId="353E64C1"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eastAsia="en-PH"/>
              </w:rPr>
              <w:t>Accounts Receivable-Others</w:t>
            </w:r>
          </w:p>
        </w:tc>
        <w:tc>
          <w:tcPr>
            <w:tcW w:w="813" w:type="dxa"/>
            <w:tcBorders>
              <w:top w:val="nil"/>
              <w:left w:val="nil"/>
              <w:bottom w:val="nil"/>
              <w:right w:val="nil"/>
            </w:tcBorders>
            <w:shd w:val="clear" w:color="auto" w:fill="auto"/>
            <w:noWrap/>
            <w:vAlign w:val="bottom"/>
            <w:hideMark/>
          </w:tcPr>
          <w:p w14:paraId="39F5D896"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noWrap/>
            <w:vAlign w:val="bottom"/>
            <w:hideMark/>
          </w:tcPr>
          <w:p w14:paraId="2782C0B8" w14:textId="6151C02C" w:rsidR="00D921BD" w:rsidRPr="00495094" w:rsidRDefault="00864A8F" w:rsidP="00465E97">
            <w:pPr>
              <w:jc w:val="right"/>
              <w:rPr>
                <w:rFonts w:ascii="Arial" w:hAnsi="Arial" w:cs="Arial"/>
                <w:sz w:val="22"/>
                <w:szCs w:val="22"/>
                <w:lang w:val="en-PH" w:eastAsia="en-PH"/>
              </w:rPr>
            </w:pPr>
            <w:r w:rsidRPr="00495094">
              <w:rPr>
                <w:rFonts w:ascii="Arial" w:hAnsi="Arial" w:cs="Arial"/>
                <w:sz w:val="22"/>
                <w:szCs w:val="22"/>
                <w:lang w:val="en-PH" w:eastAsia="en-PH"/>
              </w:rPr>
              <w:t>58,</w:t>
            </w:r>
            <w:r w:rsidR="00465E97" w:rsidRPr="00495094">
              <w:rPr>
                <w:rFonts w:ascii="Arial" w:hAnsi="Arial" w:cs="Arial"/>
                <w:sz w:val="22"/>
                <w:szCs w:val="22"/>
                <w:lang w:val="en-PH" w:eastAsia="en-PH"/>
              </w:rPr>
              <w:t>721</w:t>
            </w:r>
            <w:r w:rsidRPr="00495094">
              <w:rPr>
                <w:rFonts w:ascii="Arial" w:hAnsi="Arial" w:cs="Arial"/>
                <w:sz w:val="22"/>
                <w:szCs w:val="22"/>
                <w:lang w:val="en-PH" w:eastAsia="en-PH"/>
              </w:rPr>
              <w:t>,8</w:t>
            </w:r>
            <w:r w:rsidR="00465E97" w:rsidRPr="00495094">
              <w:rPr>
                <w:rFonts w:ascii="Arial" w:hAnsi="Arial" w:cs="Arial"/>
                <w:sz w:val="22"/>
                <w:szCs w:val="22"/>
                <w:lang w:val="en-PH" w:eastAsia="en-PH"/>
              </w:rPr>
              <w:t>54</w:t>
            </w:r>
          </w:p>
        </w:tc>
      </w:tr>
      <w:tr w:rsidR="00495094" w:rsidRPr="00495094" w14:paraId="205D0933" w14:textId="77777777" w:rsidTr="007A10F3">
        <w:trPr>
          <w:trHeight w:val="147"/>
        </w:trPr>
        <w:tc>
          <w:tcPr>
            <w:tcW w:w="5421" w:type="dxa"/>
            <w:tcBorders>
              <w:top w:val="nil"/>
              <w:bottom w:val="nil"/>
              <w:right w:val="nil"/>
            </w:tcBorders>
            <w:shd w:val="clear" w:color="auto" w:fill="auto"/>
            <w:vAlign w:val="center"/>
            <w:hideMark/>
          </w:tcPr>
          <w:p w14:paraId="442A9F8F" w14:textId="2AEC5D5E"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eastAsia="en-PH"/>
              </w:rPr>
              <w:t>Deposit liability</w:t>
            </w:r>
          </w:p>
        </w:tc>
        <w:tc>
          <w:tcPr>
            <w:tcW w:w="813" w:type="dxa"/>
            <w:tcBorders>
              <w:top w:val="nil"/>
              <w:left w:val="nil"/>
              <w:bottom w:val="nil"/>
              <w:right w:val="nil"/>
            </w:tcBorders>
            <w:shd w:val="clear" w:color="auto" w:fill="auto"/>
            <w:vAlign w:val="center"/>
            <w:hideMark/>
          </w:tcPr>
          <w:p w14:paraId="323811D5"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vAlign w:val="center"/>
            <w:hideMark/>
          </w:tcPr>
          <w:p w14:paraId="2C10ECE6" w14:textId="3412B5B7" w:rsidR="00D921BD" w:rsidRPr="00495094" w:rsidRDefault="00D921BD" w:rsidP="00D921BD">
            <w:pPr>
              <w:jc w:val="right"/>
              <w:rPr>
                <w:rFonts w:ascii="Arial" w:hAnsi="Arial" w:cs="Arial"/>
                <w:sz w:val="22"/>
                <w:szCs w:val="22"/>
                <w:lang w:val="en-PH" w:eastAsia="en-PH"/>
              </w:rPr>
            </w:pPr>
            <w:r w:rsidRPr="00495094">
              <w:rPr>
                <w:rFonts w:ascii="Arial" w:hAnsi="Arial" w:cs="Arial"/>
                <w:sz w:val="22"/>
                <w:szCs w:val="22"/>
                <w:lang w:val="en-PH" w:eastAsia="en-PH"/>
              </w:rPr>
              <w:t>2,000,000,000</w:t>
            </w:r>
          </w:p>
        </w:tc>
      </w:tr>
      <w:tr w:rsidR="00495094" w:rsidRPr="00495094" w14:paraId="60A0C47D" w14:textId="77777777" w:rsidTr="007A10F3">
        <w:trPr>
          <w:trHeight w:val="107"/>
        </w:trPr>
        <w:tc>
          <w:tcPr>
            <w:tcW w:w="5421" w:type="dxa"/>
            <w:tcBorders>
              <w:top w:val="nil"/>
              <w:bottom w:val="nil"/>
              <w:right w:val="nil"/>
            </w:tcBorders>
            <w:shd w:val="clear" w:color="auto" w:fill="auto"/>
            <w:vAlign w:val="center"/>
            <w:hideMark/>
          </w:tcPr>
          <w:p w14:paraId="2C36B49B" w14:textId="7968D0E9"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val="en-PH" w:eastAsia="en-PH"/>
              </w:rPr>
              <w:t>Accrued expenses</w:t>
            </w:r>
          </w:p>
        </w:tc>
        <w:tc>
          <w:tcPr>
            <w:tcW w:w="813" w:type="dxa"/>
            <w:tcBorders>
              <w:top w:val="nil"/>
              <w:left w:val="nil"/>
              <w:bottom w:val="nil"/>
              <w:right w:val="nil"/>
            </w:tcBorders>
            <w:shd w:val="clear" w:color="auto" w:fill="auto"/>
            <w:vAlign w:val="center"/>
            <w:hideMark/>
          </w:tcPr>
          <w:p w14:paraId="49BB784C"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vAlign w:val="center"/>
            <w:hideMark/>
          </w:tcPr>
          <w:p w14:paraId="3802DB38" w14:textId="7A936673" w:rsidR="00D921BD" w:rsidRPr="00495094" w:rsidRDefault="00465E97" w:rsidP="00465E97">
            <w:pPr>
              <w:jc w:val="right"/>
              <w:rPr>
                <w:rFonts w:ascii="Arial" w:hAnsi="Arial" w:cs="Arial"/>
                <w:sz w:val="22"/>
                <w:szCs w:val="22"/>
                <w:highlight w:val="yellow"/>
                <w:lang w:val="en-PH" w:eastAsia="en-PH"/>
              </w:rPr>
            </w:pPr>
            <w:r w:rsidRPr="00495094">
              <w:rPr>
                <w:rFonts w:ascii="Arial" w:hAnsi="Arial" w:cs="Arial"/>
                <w:sz w:val="22"/>
                <w:szCs w:val="22"/>
                <w:lang w:val="en-PH" w:eastAsia="en-PH"/>
              </w:rPr>
              <w:t>1</w:t>
            </w:r>
            <w:r w:rsidR="00D564DD" w:rsidRPr="00495094">
              <w:rPr>
                <w:rFonts w:ascii="Arial" w:hAnsi="Arial" w:cs="Arial"/>
                <w:sz w:val="22"/>
                <w:szCs w:val="22"/>
                <w:lang w:val="en-PH" w:eastAsia="en-PH"/>
              </w:rPr>
              <w:t>0</w:t>
            </w:r>
            <w:r w:rsidRPr="00495094">
              <w:rPr>
                <w:rFonts w:ascii="Arial" w:hAnsi="Arial" w:cs="Arial"/>
                <w:sz w:val="22"/>
                <w:szCs w:val="22"/>
                <w:lang w:val="en-PH" w:eastAsia="en-PH"/>
              </w:rPr>
              <w:t>3</w:t>
            </w:r>
            <w:r w:rsidR="00D564DD" w:rsidRPr="00495094">
              <w:rPr>
                <w:rFonts w:ascii="Arial" w:hAnsi="Arial" w:cs="Arial"/>
                <w:sz w:val="22"/>
                <w:szCs w:val="22"/>
                <w:lang w:val="en-PH" w:eastAsia="en-PH"/>
              </w:rPr>
              <w:t>,</w:t>
            </w:r>
            <w:r w:rsidRPr="00495094">
              <w:rPr>
                <w:rFonts w:ascii="Arial" w:hAnsi="Arial" w:cs="Arial"/>
                <w:sz w:val="22"/>
                <w:szCs w:val="22"/>
                <w:lang w:val="en-PH" w:eastAsia="en-PH"/>
              </w:rPr>
              <w:t>96</w:t>
            </w:r>
            <w:r w:rsidR="00D564DD" w:rsidRPr="00495094">
              <w:rPr>
                <w:rFonts w:ascii="Arial" w:hAnsi="Arial" w:cs="Arial"/>
                <w:sz w:val="22"/>
                <w:szCs w:val="22"/>
                <w:lang w:val="en-PH" w:eastAsia="en-PH"/>
              </w:rPr>
              <w:t>0,0</w:t>
            </w:r>
            <w:r w:rsidRPr="00495094">
              <w:rPr>
                <w:rFonts w:ascii="Arial" w:hAnsi="Arial" w:cs="Arial"/>
                <w:sz w:val="22"/>
                <w:szCs w:val="22"/>
                <w:lang w:val="en-PH" w:eastAsia="en-PH"/>
              </w:rPr>
              <w:t>87</w:t>
            </w:r>
          </w:p>
        </w:tc>
      </w:tr>
      <w:tr w:rsidR="00495094" w:rsidRPr="00495094" w14:paraId="5AA82444" w14:textId="77777777" w:rsidTr="007A10F3">
        <w:trPr>
          <w:trHeight w:val="97"/>
        </w:trPr>
        <w:tc>
          <w:tcPr>
            <w:tcW w:w="5421" w:type="dxa"/>
            <w:tcBorders>
              <w:top w:val="nil"/>
              <w:bottom w:val="nil"/>
              <w:right w:val="nil"/>
            </w:tcBorders>
            <w:shd w:val="clear" w:color="auto" w:fill="auto"/>
            <w:vAlign w:val="center"/>
            <w:hideMark/>
          </w:tcPr>
          <w:p w14:paraId="129EE4C0" w14:textId="7799B973"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eastAsia="en-PH"/>
              </w:rPr>
              <w:t>Accounts payable-others</w:t>
            </w:r>
          </w:p>
        </w:tc>
        <w:tc>
          <w:tcPr>
            <w:tcW w:w="813" w:type="dxa"/>
            <w:tcBorders>
              <w:top w:val="nil"/>
              <w:left w:val="nil"/>
              <w:bottom w:val="nil"/>
              <w:right w:val="nil"/>
            </w:tcBorders>
            <w:shd w:val="clear" w:color="auto" w:fill="auto"/>
            <w:vAlign w:val="center"/>
            <w:hideMark/>
          </w:tcPr>
          <w:p w14:paraId="74BA5E75"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vAlign w:val="center"/>
            <w:hideMark/>
          </w:tcPr>
          <w:p w14:paraId="2CC69E00" w14:textId="5DA9CEE1" w:rsidR="00D921BD" w:rsidRPr="00495094" w:rsidRDefault="00864A8F" w:rsidP="00D921BD">
            <w:pPr>
              <w:jc w:val="right"/>
              <w:rPr>
                <w:rFonts w:ascii="Arial" w:hAnsi="Arial" w:cs="Arial"/>
                <w:sz w:val="22"/>
                <w:szCs w:val="22"/>
                <w:highlight w:val="yellow"/>
                <w:lang w:val="en-PH" w:eastAsia="en-PH"/>
              </w:rPr>
            </w:pPr>
            <w:r w:rsidRPr="00495094">
              <w:rPr>
                <w:rFonts w:ascii="Arial" w:hAnsi="Arial" w:cs="Arial"/>
                <w:sz w:val="22"/>
                <w:szCs w:val="22"/>
                <w:lang w:val="en-PH" w:eastAsia="en-PH"/>
              </w:rPr>
              <w:t>17,983,266</w:t>
            </w:r>
          </w:p>
        </w:tc>
      </w:tr>
      <w:tr w:rsidR="00495094" w:rsidRPr="00495094" w14:paraId="23C43C61" w14:textId="77777777" w:rsidTr="007A10F3">
        <w:trPr>
          <w:trHeight w:val="203"/>
        </w:trPr>
        <w:tc>
          <w:tcPr>
            <w:tcW w:w="5421" w:type="dxa"/>
            <w:tcBorders>
              <w:top w:val="nil"/>
              <w:bottom w:val="nil"/>
              <w:right w:val="nil"/>
            </w:tcBorders>
            <w:shd w:val="clear" w:color="auto" w:fill="auto"/>
            <w:vAlign w:val="center"/>
            <w:hideMark/>
          </w:tcPr>
          <w:p w14:paraId="30692F5F" w14:textId="68870CA0"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val="en-PH" w:eastAsia="en-PH"/>
              </w:rPr>
              <w:t>P</w:t>
            </w:r>
            <w:r w:rsidR="007A10F3" w:rsidRPr="00495094">
              <w:rPr>
                <w:rFonts w:ascii="Arial" w:hAnsi="Arial" w:cs="Arial"/>
                <w:sz w:val="22"/>
                <w:szCs w:val="22"/>
                <w:lang w:val="en-PH" w:eastAsia="en-PH"/>
              </w:rPr>
              <w:t xml:space="preserve">aid </w:t>
            </w:r>
            <w:r w:rsidRPr="00495094">
              <w:rPr>
                <w:rFonts w:ascii="Arial" w:hAnsi="Arial" w:cs="Arial"/>
                <w:sz w:val="22"/>
                <w:szCs w:val="22"/>
                <w:lang w:val="en-PH" w:eastAsia="en-PH"/>
              </w:rPr>
              <w:t>I</w:t>
            </w:r>
            <w:r w:rsidR="007A10F3" w:rsidRPr="00495094">
              <w:rPr>
                <w:rFonts w:ascii="Arial" w:hAnsi="Arial" w:cs="Arial"/>
                <w:sz w:val="22"/>
                <w:szCs w:val="22"/>
                <w:lang w:val="en-PH" w:eastAsia="en-PH"/>
              </w:rPr>
              <w:t xml:space="preserve">n </w:t>
            </w:r>
            <w:r w:rsidRPr="00495094">
              <w:rPr>
                <w:rFonts w:ascii="Arial" w:hAnsi="Arial" w:cs="Arial"/>
                <w:sz w:val="22"/>
                <w:szCs w:val="22"/>
                <w:lang w:val="en-PH" w:eastAsia="en-PH"/>
              </w:rPr>
              <w:t>C</w:t>
            </w:r>
            <w:r w:rsidR="007A10F3" w:rsidRPr="00495094">
              <w:rPr>
                <w:rFonts w:ascii="Arial" w:hAnsi="Arial" w:cs="Arial"/>
                <w:sz w:val="22"/>
                <w:szCs w:val="22"/>
                <w:lang w:val="en-PH" w:eastAsia="en-PH"/>
              </w:rPr>
              <w:t xml:space="preserve">apital </w:t>
            </w:r>
            <w:r w:rsidRPr="00495094">
              <w:rPr>
                <w:rFonts w:ascii="Arial" w:hAnsi="Arial" w:cs="Arial"/>
                <w:sz w:val="22"/>
                <w:szCs w:val="22"/>
                <w:lang w:val="en-PH" w:eastAsia="en-PH"/>
              </w:rPr>
              <w:t>S</w:t>
            </w:r>
            <w:r w:rsidR="007A10F3" w:rsidRPr="00495094">
              <w:rPr>
                <w:rFonts w:ascii="Arial" w:hAnsi="Arial" w:cs="Arial"/>
                <w:sz w:val="22"/>
                <w:szCs w:val="22"/>
                <w:lang w:val="en-PH" w:eastAsia="en-PH"/>
              </w:rPr>
              <w:t>tock</w:t>
            </w:r>
            <w:r w:rsidRPr="00495094">
              <w:rPr>
                <w:rFonts w:ascii="Arial" w:hAnsi="Arial" w:cs="Arial"/>
                <w:sz w:val="22"/>
                <w:szCs w:val="22"/>
                <w:lang w:val="en-PH" w:eastAsia="en-PH"/>
              </w:rPr>
              <w:t>-common stock</w:t>
            </w:r>
          </w:p>
        </w:tc>
        <w:tc>
          <w:tcPr>
            <w:tcW w:w="813" w:type="dxa"/>
            <w:tcBorders>
              <w:top w:val="nil"/>
              <w:left w:val="nil"/>
              <w:bottom w:val="nil"/>
              <w:right w:val="nil"/>
            </w:tcBorders>
            <w:shd w:val="clear" w:color="auto" w:fill="auto"/>
            <w:vAlign w:val="center"/>
            <w:hideMark/>
          </w:tcPr>
          <w:p w14:paraId="4E4B229B"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nil"/>
              <w:right w:val="nil"/>
            </w:tcBorders>
            <w:shd w:val="clear" w:color="auto" w:fill="auto"/>
            <w:noWrap/>
            <w:vAlign w:val="bottom"/>
            <w:hideMark/>
          </w:tcPr>
          <w:p w14:paraId="337B7F02" w14:textId="43A8BFAD" w:rsidR="00D921BD" w:rsidRPr="00495094" w:rsidRDefault="00864A8F" w:rsidP="00864A8F">
            <w:pPr>
              <w:jc w:val="right"/>
              <w:rPr>
                <w:rFonts w:ascii="Arial" w:hAnsi="Arial" w:cs="Arial"/>
                <w:sz w:val="22"/>
                <w:szCs w:val="22"/>
                <w:highlight w:val="yellow"/>
                <w:lang w:val="en-PH" w:eastAsia="en-PH"/>
              </w:rPr>
            </w:pPr>
            <w:r w:rsidRPr="00495094">
              <w:rPr>
                <w:rFonts w:ascii="Arial" w:hAnsi="Arial" w:cs="Arial"/>
                <w:sz w:val="22"/>
                <w:szCs w:val="22"/>
                <w:lang w:val="en-PH" w:eastAsia="en-PH"/>
              </w:rPr>
              <w:t>2,108</w:t>
            </w:r>
            <w:r w:rsidR="00D921BD" w:rsidRPr="00495094">
              <w:rPr>
                <w:rFonts w:ascii="Arial" w:hAnsi="Arial" w:cs="Arial"/>
                <w:sz w:val="22"/>
                <w:szCs w:val="22"/>
                <w:lang w:val="en-PH" w:eastAsia="en-PH"/>
              </w:rPr>
              <w:t>,</w:t>
            </w:r>
            <w:r w:rsidRPr="00495094">
              <w:rPr>
                <w:rFonts w:ascii="Arial" w:hAnsi="Arial" w:cs="Arial"/>
                <w:sz w:val="22"/>
                <w:szCs w:val="22"/>
                <w:lang w:val="en-PH" w:eastAsia="en-PH"/>
              </w:rPr>
              <w:t>992</w:t>
            </w:r>
            <w:r w:rsidR="00D921BD" w:rsidRPr="00495094">
              <w:rPr>
                <w:rFonts w:ascii="Arial" w:hAnsi="Arial" w:cs="Arial"/>
                <w:sz w:val="22"/>
                <w:szCs w:val="22"/>
                <w:lang w:val="en-PH" w:eastAsia="en-PH"/>
              </w:rPr>
              <w:t>,000</w:t>
            </w:r>
          </w:p>
        </w:tc>
      </w:tr>
      <w:tr w:rsidR="00495094" w:rsidRPr="00495094" w14:paraId="6D1A6432" w14:textId="77777777" w:rsidTr="007A10F3">
        <w:trPr>
          <w:trHeight w:val="181"/>
        </w:trPr>
        <w:tc>
          <w:tcPr>
            <w:tcW w:w="5421" w:type="dxa"/>
            <w:tcBorders>
              <w:top w:val="nil"/>
              <w:right w:val="nil"/>
            </w:tcBorders>
            <w:shd w:val="clear" w:color="auto" w:fill="auto"/>
            <w:vAlign w:val="center"/>
            <w:hideMark/>
          </w:tcPr>
          <w:p w14:paraId="2B5A8CB6" w14:textId="3774989F"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val="en-PH" w:eastAsia="en-PH"/>
              </w:rPr>
              <w:t>Interest income</w:t>
            </w:r>
          </w:p>
        </w:tc>
        <w:tc>
          <w:tcPr>
            <w:tcW w:w="813" w:type="dxa"/>
            <w:tcBorders>
              <w:top w:val="nil"/>
              <w:left w:val="nil"/>
              <w:right w:val="nil"/>
            </w:tcBorders>
            <w:shd w:val="clear" w:color="auto" w:fill="auto"/>
            <w:vAlign w:val="center"/>
            <w:hideMark/>
          </w:tcPr>
          <w:p w14:paraId="4BD4EC39"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right w:val="nil"/>
            </w:tcBorders>
            <w:shd w:val="clear" w:color="auto" w:fill="auto"/>
            <w:noWrap/>
            <w:vAlign w:val="bottom"/>
            <w:hideMark/>
          </w:tcPr>
          <w:p w14:paraId="427712D6" w14:textId="3DC4C483" w:rsidR="00D921BD" w:rsidRPr="00495094" w:rsidRDefault="00864A8F" w:rsidP="00D921BD">
            <w:pPr>
              <w:jc w:val="right"/>
              <w:rPr>
                <w:rFonts w:ascii="Arial" w:hAnsi="Arial" w:cs="Arial"/>
                <w:sz w:val="22"/>
                <w:szCs w:val="22"/>
                <w:lang w:val="en-PH" w:eastAsia="en-PH"/>
              </w:rPr>
            </w:pPr>
            <w:r w:rsidRPr="00495094">
              <w:rPr>
                <w:rFonts w:ascii="Arial" w:hAnsi="Arial" w:cs="Arial"/>
                <w:sz w:val="22"/>
                <w:szCs w:val="22"/>
                <w:lang w:val="en-PH" w:eastAsia="en-PH"/>
              </w:rPr>
              <w:t>17,821</w:t>
            </w:r>
          </w:p>
        </w:tc>
      </w:tr>
      <w:tr w:rsidR="00495094" w:rsidRPr="00495094" w14:paraId="2826E685" w14:textId="77777777" w:rsidTr="007A10F3">
        <w:trPr>
          <w:trHeight w:val="98"/>
        </w:trPr>
        <w:tc>
          <w:tcPr>
            <w:tcW w:w="5421" w:type="dxa"/>
            <w:tcBorders>
              <w:top w:val="nil"/>
              <w:right w:val="nil"/>
            </w:tcBorders>
            <w:shd w:val="clear" w:color="auto" w:fill="auto"/>
            <w:vAlign w:val="center"/>
            <w:hideMark/>
          </w:tcPr>
          <w:p w14:paraId="2882C4CE" w14:textId="3926EC12" w:rsidR="00D921BD" w:rsidRPr="00495094" w:rsidRDefault="00D921BD" w:rsidP="00D921BD">
            <w:pPr>
              <w:ind w:left="-108"/>
              <w:jc w:val="left"/>
              <w:rPr>
                <w:rFonts w:ascii="Arial" w:hAnsi="Arial" w:cs="Arial"/>
                <w:sz w:val="22"/>
                <w:szCs w:val="22"/>
                <w:lang w:val="en-PH" w:eastAsia="en-PH"/>
              </w:rPr>
            </w:pPr>
            <w:r w:rsidRPr="00495094">
              <w:rPr>
                <w:rFonts w:ascii="Arial" w:hAnsi="Arial" w:cs="Arial"/>
                <w:sz w:val="22"/>
                <w:szCs w:val="22"/>
                <w:lang w:val="en-PH" w:eastAsia="en-PH"/>
              </w:rPr>
              <w:t>Fees and Commission Expense</w:t>
            </w:r>
          </w:p>
        </w:tc>
        <w:tc>
          <w:tcPr>
            <w:tcW w:w="813" w:type="dxa"/>
            <w:tcBorders>
              <w:top w:val="nil"/>
              <w:left w:val="nil"/>
              <w:right w:val="nil"/>
            </w:tcBorders>
            <w:shd w:val="clear" w:color="auto" w:fill="auto"/>
            <w:vAlign w:val="center"/>
            <w:hideMark/>
          </w:tcPr>
          <w:p w14:paraId="3BC4E961"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right w:val="nil"/>
            </w:tcBorders>
            <w:shd w:val="clear" w:color="auto" w:fill="auto"/>
            <w:noWrap/>
            <w:vAlign w:val="bottom"/>
            <w:hideMark/>
          </w:tcPr>
          <w:p w14:paraId="0C3A0037" w14:textId="5AB3462C" w:rsidR="00D921BD" w:rsidRPr="00495094" w:rsidRDefault="00864A8F" w:rsidP="00465E97">
            <w:pPr>
              <w:jc w:val="right"/>
              <w:rPr>
                <w:rFonts w:ascii="Arial" w:hAnsi="Arial" w:cs="Arial"/>
                <w:sz w:val="22"/>
                <w:szCs w:val="22"/>
                <w:lang w:val="en-PH" w:eastAsia="en-PH"/>
              </w:rPr>
            </w:pPr>
            <w:r w:rsidRPr="00495094">
              <w:rPr>
                <w:rFonts w:ascii="Arial" w:hAnsi="Arial" w:cs="Arial"/>
                <w:sz w:val="22"/>
                <w:szCs w:val="22"/>
                <w:lang w:val="en-PH" w:eastAsia="en-PH"/>
              </w:rPr>
              <w:t>2,</w:t>
            </w:r>
            <w:r w:rsidR="00465E97" w:rsidRPr="00495094">
              <w:rPr>
                <w:rFonts w:ascii="Arial" w:hAnsi="Arial" w:cs="Arial"/>
                <w:sz w:val="22"/>
                <w:szCs w:val="22"/>
                <w:lang w:val="en-PH" w:eastAsia="en-PH"/>
              </w:rPr>
              <w:t>795</w:t>
            </w:r>
            <w:r w:rsidRPr="00495094">
              <w:rPr>
                <w:rFonts w:ascii="Arial" w:hAnsi="Arial" w:cs="Arial"/>
                <w:sz w:val="22"/>
                <w:szCs w:val="22"/>
                <w:lang w:val="en-PH" w:eastAsia="en-PH"/>
              </w:rPr>
              <w:t>,8</w:t>
            </w:r>
            <w:r w:rsidR="00465E97" w:rsidRPr="00495094">
              <w:rPr>
                <w:rFonts w:ascii="Arial" w:hAnsi="Arial" w:cs="Arial"/>
                <w:sz w:val="22"/>
                <w:szCs w:val="22"/>
                <w:lang w:val="en-PH" w:eastAsia="en-PH"/>
              </w:rPr>
              <w:t>53</w:t>
            </w:r>
          </w:p>
        </w:tc>
      </w:tr>
      <w:tr w:rsidR="00495094" w:rsidRPr="00495094" w14:paraId="30A703EB" w14:textId="77777777" w:rsidTr="007A10F3">
        <w:trPr>
          <w:trHeight w:val="265"/>
        </w:trPr>
        <w:tc>
          <w:tcPr>
            <w:tcW w:w="5421" w:type="dxa"/>
            <w:tcBorders>
              <w:top w:val="nil"/>
              <w:bottom w:val="single" w:sz="4" w:space="0" w:color="auto"/>
              <w:right w:val="nil"/>
            </w:tcBorders>
            <w:shd w:val="clear" w:color="auto" w:fill="auto"/>
            <w:vAlign w:val="center"/>
          </w:tcPr>
          <w:p w14:paraId="663C6DA8" w14:textId="39673714" w:rsidR="00D921BD" w:rsidRPr="00495094" w:rsidRDefault="00D921BD" w:rsidP="00D921BD">
            <w:pPr>
              <w:ind w:left="-108"/>
              <w:jc w:val="left"/>
              <w:rPr>
                <w:rFonts w:ascii="Arial" w:hAnsi="Arial" w:cs="Arial"/>
                <w:sz w:val="22"/>
                <w:szCs w:val="22"/>
                <w:lang w:eastAsia="en-PH"/>
              </w:rPr>
            </w:pPr>
            <w:r w:rsidRPr="00495094">
              <w:rPr>
                <w:rFonts w:ascii="Arial" w:hAnsi="Arial" w:cs="Arial"/>
                <w:sz w:val="22"/>
                <w:szCs w:val="22"/>
                <w:lang w:eastAsia="en-PH"/>
              </w:rPr>
              <w:t>Interest expense</w:t>
            </w:r>
          </w:p>
        </w:tc>
        <w:tc>
          <w:tcPr>
            <w:tcW w:w="813" w:type="dxa"/>
            <w:tcBorders>
              <w:top w:val="nil"/>
              <w:left w:val="nil"/>
              <w:bottom w:val="single" w:sz="4" w:space="0" w:color="auto"/>
              <w:right w:val="nil"/>
            </w:tcBorders>
            <w:shd w:val="clear" w:color="auto" w:fill="auto"/>
            <w:vAlign w:val="center"/>
          </w:tcPr>
          <w:p w14:paraId="3747A2A5" w14:textId="77777777" w:rsidR="00D921BD" w:rsidRPr="00495094" w:rsidRDefault="00D921BD" w:rsidP="00D921BD">
            <w:pPr>
              <w:jc w:val="left"/>
              <w:rPr>
                <w:rFonts w:ascii="Arial" w:hAnsi="Arial" w:cs="Arial"/>
                <w:sz w:val="22"/>
                <w:szCs w:val="22"/>
                <w:lang w:val="en-PH" w:eastAsia="en-PH"/>
              </w:rPr>
            </w:pPr>
          </w:p>
        </w:tc>
        <w:tc>
          <w:tcPr>
            <w:tcW w:w="1995" w:type="dxa"/>
            <w:tcBorders>
              <w:top w:val="nil"/>
              <w:left w:val="nil"/>
              <w:bottom w:val="single" w:sz="4" w:space="0" w:color="auto"/>
              <w:right w:val="nil"/>
            </w:tcBorders>
            <w:shd w:val="clear" w:color="auto" w:fill="auto"/>
            <w:noWrap/>
            <w:vAlign w:val="bottom"/>
          </w:tcPr>
          <w:p w14:paraId="52375AE6" w14:textId="3F51318B" w:rsidR="00D921BD" w:rsidRPr="00495094" w:rsidRDefault="00D921BD" w:rsidP="00D564DD">
            <w:pPr>
              <w:jc w:val="right"/>
              <w:rPr>
                <w:rFonts w:ascii="Arial" w:hAnsi="Arial" w:cs="Arial"/>
                <w:sz w:val="22"/>
                <w:szCs w:val="22"/>
                <w:lang w:eastAsia="en-PH"/>
              </w:rPr>
            </w:pPr>
            <w:r w:rsidRPr="00495094">
              <w:rPr>
                <w:rFonts w:ascii="Arial" w:hAnsi="Arial" w:cs="Arial"/>
                <w:sz w:val="22"/>
                <w:szCs w:val="22"/>
                <w:lang w:val="en-PH" w:eastAsia="en-PH"/>
              </w:rPr>
              <w:t>2</w:t>
            </w:r>
            <w:r w:rsidR="00D564DD" w:rsidRPr="00495094">
              <w:rPr>
                <w:rFonts w:ascii="Arial" w:hAnsi="Arial" w:cs="Arial"/>
                <w:sz w:val="22"/>
                <w:szCs w:val="22"/>
                <w:lang w:val="en-PH" w:eastAsia="en-PH"/>
              </w:rPr>
              <w:t>5,347,222</w:t>
            </w:r>
          </w:p>
        </w:tc>
      </w:tr>
      <w:tr w:rsidR="00495094" w:rsidRPr="00495094" w14:paraId="2CAD8E37" w14:textId="77777777" w:rsidTr="007A10F3">
        <w:trPr>
          <w:trHeight w:val="265"/>
        </w:trPr>
        <w:tc>
          <w:tcPr>
            <w:tcW w:w="5421" w:type="dxa"/>
            <w:tcBorders>
              <w:top w:val="single" w:sz="4" w:space="0" w:color="auto"/>
              <w:bottom w:val="double" w:sz="4" w:space="0" w:color="auto"/>
              <w:right w:val="nil"/>
            </w:tcBorders>
            <w:shd w:val="clear" w:color="auto" w:fill="auto"/>
            <w:vAlign w:val="center"/>
            <w:hideMark/>
          </w:tcPr>
          <w:p w14:paraId="77663A0E" w14:textId="20FACD42" w:rsidR="00D921BD" w:rsidRPr="00495094" w:rsidRDefault="00D921BD" w:rsidP="00D921BD">
            <w:pPr>
              <w:ind w:left="-108"/>
              <w:jc w:val="left"/>
              <w:rPr>
                <w:rFonts w:ascii="Arial" w:hAnsi="Arial" w:cs="Arial"/>
                <w:iCs/>
                <w:sz w:val="22"/>
                <w:szCs w:val="22"/>
                <w:lang w:val="en-PH" w:eastAsia="en-PH"/>
              </w:rPr>
            </w:pPr>
          </w:p>
        </w:tc>
        <w:tc>
          <w:tcPr>
            <w:tcW w:w="813" w:type="dxa"/>
            <w:tcBorders>
              <w:top w:val="single" w:sz="4" w:space="0" w:color="auto"/>
              <w:left w:val="nil"/>
              <w:bottom w:val="double" w:sz="4" w:space="0" w:color="auto"/>
              <w:right w:val="nil"/>
            </w:tcBorders>
            <w:shd w:val="clear" w:color="auto" w:fill="auto"/>
            <w:vAlign w:val="center"/>
            <w:hideMark/>
          </w:tcPr>
          <w:p w14:paraId="27CE1EB4" w14:textId="77777777" w:rsidR="00D921BD" w:rsidRPr="00495094" w:rsidRDefault="00D921BD" w:rsidP="00D921BD">
            <w:pPr>
              <w:jc w:val="left"/>
              <w:rPr>
                <w:rFonts w:ascii="Arial" w:hAnsi="Arial" w:cs="Arial"/>
                <w:iCs/>
                <w:sz w:val="22"/>
                <w:szCs w:val="22"/>
                <w:lang w:val="en-PH" w:eastAsia="en-PH"/>
              </w:rPr>
            </w:pPr>
          </w:p>
        </w:tc>
        <w:tc>
          <w:tcPr>
            <w:tcW w:w="1995" w:type="dxa"/>
            <w:tcBorders>
              <w:top w:val="single" w:sz="4" w:space="0" w:color="auto"/>
              <w:left w:val="nil"/>
              <w:bottom w:val="double" w:sz="4" w:space="0" w:color="auto"/>
              <w:right w:val="nil"/>
            </w:tcBorders>
            <w:shd w:val="clear" w:color="auto" w:fill="auto"/>
            <w:noWrap/>
            <w:vAlign w:val="bottom"/>
            <w:hideMark/>
          </w:tcPr>
          <w:p w14:paraId="297C9D5C" w14:textId="133E0530" w:rsidR="00D921BD" w:rsidRPr="00495094" w:rsidRDefault="00864A8F" w:rsidP="00465E97">
            <w:pPr>
              <w:jc w:val="right"/>
              <w:rPr>
                <w:rFonts w:ascii="Arial" w:hAnsi="Arial" w:cs="Arial"/>
                <w:sz w:val="22"/>
                <w:szCs w:val="22"/>
                <w:highlight w:val="yellow"/>
                <w:lang w:val="en-PH" w:eastAsia="en-PH"/>
              </w:rPr>
            </w:pPr>
            <w:r w:rsidRPr="00495094">
              <w:rPr>
                <w:rFonts w:ascii="Arial" w:hAnsi="Arial" w:cs="Arial"/>
                <w:sz w:val="22"/>
                <w:szCs w:val="22"/>
                <w:lang w:val="en-PH" w:eastAsia="en-PH"/>
              </w:rPr>
              <w:t>4,</w:t>
            </w:r>
            <w:r w:rsidR="00D564DD" w:rsidRPr="00495094">
              <w:rPr>
                <w:rFonts w:ascii="Arial" w:hAnsi="Arial" w:cs="Arial"/>
                <w:sz w:val="22"/>
                <w:szCs w:val="22"/>
                <w:lang w:val="en-PH" w:eastAsia="en-PH"/>
              </w:rPr>
              <w:t>3</w:t>
            </w:r>
            <w:r w:rsidR="00465E97" w:rsidRPr="00495094">
              <w:rPr>
                <w:rFonts w:ascii="Arial" w:hAnsi="Arial" w:cs="Arial"/>
                <w:sz w:val="22"/>
                <w:szCs w:val="22"/>
                <w:lang w:val="en-PH" w:eastAsia="en-PH"/>
              </w:rPr>
              <w:t>49</w:t>
            </w:r>
            <w:r w:rsidRPr="00495094">
              <w:rPr>
                <w:rFonts w:ascii="Arial" w:hAnsi="Arial" w:cs="Arial"/>
                <w:sz w:val="22"/>
                <w:szCs w:val="22"/>
                <w:lang w:val="en-PH" w:eastAsia="en-PH"/>
              </w:rPr>
              <w:t>,</w:t>
            </w:r>
            <w:r w:rsidR="00465E97" w:rsidRPr="00495094">
              <w:rPr>
                <w:rFonts w:ascii="Arial" w:hAnsi="Arial" w:cs="Arial"/>
                <w:sz w:val="22"/>
                <w:szCs w:val="22"/>
                <w:lang w:val="en-PH" w:eastAsia="en-PH"/>
              </w:rPr>
              <w:t>480</w:t>
            </w:r>
            <w:r w:rsidRPr="00495094">
              <w:rPr>
                <w:rFonts w:ascii="Arial" w:hAnsi="Arial" w:cs="Arial"/>
                <w:sz w:val="22"/>
                <w:szCs w:val="22"/>
                <w:lang w:val="en-PH" w:eastAsia="en-PH"/>
              </w:rPr>
              <w:t>,</w:t>
            </w:r>
            <w:r w:rsidR="00D564DD" w:rsidRPr="00495094">
              <w:rPr>
                <w:rFonts w:ascii="Arial" w:hAnsi="Arial" w:cs="Arial"/>
                <w:sz w:val="22"/>
                <w:szCs w:val="22"/>
                <w:lang w:val="en-PH" w:eastAsia="en-PH"/>
              </w:rPr>
              <w:t>4</w:t>
            </w:r>
            <w:r w:rsidR="00465E97" w:rsidRPr="00495094">
              <w:rPr>
                <w:rFonts w:ascii="Arial" w:hAnsi="Arial" w:cs="Arial"/>
                <w:sz w:val="22"/>
                <w:szCs w:val="22"/>
                <w:lang w:val="en-PH" w:eastAsia="en-PH"/>
              </w:rPr>
              <w:t>6</w:t>
            </w:r>
            <w:r w:rsidR="00D564DD" w:rsidRPr="00495094">
              <w:rPr>
                <w:rFonts w:ascii="Arial" w:hAnsi="Arial" w:cs="Arial"/>
                <w:sz w:val="22"/>
                <w:szCs w:val="22"/>
                <w:lang w:val="en-PH" w:eastAsia="en-PH"/>
              </w:rPr>
              <w:t>5</w:t>
            </w:r>
          </w:p>
        </w:tc>
      </w:tr>
      <w:tr w:rsidR="00495094" w:rsidRPr="00495094" w14:paraId="0A5B8B6F" w14:textId="77777777" w:rsidTr="007A10F3">
        <w:trPr>
          <w:trHeight w:val="141"/>
        </w:trPr>
        <w:tc>
          <w:tcPr>
            <w:tcW w:w="5421" w:type="dxa"/>
            <w:tcBorders>
              <w:top w:val="double" w:sz="4" w:space="0" w:color="auto"/>
              <w:bottom w:val="single" w:sz="4" w:space="0" w:color="auto"/>
              <w:right w:val="nil"/>
            </w:tcBorders>
            <w:shd w:val="clear" w:color="auto" w:fill="auto"/>
            <w:vAlign w:val="center"/>
            <w:hideMark/>
          </w:tcPr>
          <w:p w14:paraId="297777D9" w14:textId="77777777" w:rsidR="004520DB" w:rsidRPr="00495094" w:rsidRDefault="004520DB" w:rsidP="004520DB">
            <w:pPr>
              <w:ind w:left="-108"/>
              <w:jc w:val="left"/>
              <w:rPr>
                <w:rFonts w:ascii="Arial" w:hAnsi="Arial" w:cs="Arial"/>
                <w:iCs/>
                <w:sz w:val="22"/>
                <w:szCs w:val="22"/>
                <w:lang w:val="en-PH" w:eastAsia="en-PH"/>
              </w:rPr>
            </w:pPr>
          </w:p>
          <w:p w14:paraId="1935ABE0" w14:textId="45238689" w:rsidR="004520DB" w:rsidRPr="00495094" w:rsidRDefault="004520DB" w:rsidP="004520DB">
            <w:pPr>
              <w:ind w:left="-108"/>
              <w:jc w:val="left"/>
              <w:rPr>
                <w:rFonts w:ascii="Arial" w:hAnsi="Arial" w:cs="Arial"/>
                <w:iCs/>
                <w:sz w:val="22"/>
                <w:szCs w:val="22"/>
                <w:lang w:val="en-PH" w:eastAsia="en-PH"/>
              </w:rPr>
            </w:pPr>
            <w:r w:rsidRPr="00495094">
              <w:rPr>
                <w:rFonts w:ascii="Arial" w:hAnsi="Arial" w:cs="Arial"/>
                <w:iCs/>
                <w:sz w:val="22"/>
                <w:szCs w:val="22"/>
                <w:lang w:val="en-PH" w:eastAsia="en-PH"/>
              </w:rPr>
              <w:t>Breakdown of Accrued Expenses</w:t>
            </w:r>
          </w:p>
        </w:tc>
        <w:tc>
          <w:tcPr>
            <w:tcW w:w="813" w:type="dxa"/>
            <w:tcBorders>
              <w:top w:val="double" w:sz="4" w:space="0" w:color="auto"/>
              <w:left w:val="nil"/>
              <w:bottom w:val="single" w:sz="4" w:space="0" w:color="auto"/>
              <w:right w:val="nil"/>
            </w:tcBorders>
            <w:shd w:val="clear" w:color="auto" w:fill="auto"/>
            <w:vAlign w:val="center"/>
            <w:hideMark/>
          </w:tcPr>
          <w:p w14:paraId="3B0F6653" w14:textId="77777777" w:rsidR="004520DB" w:rsidRPr="00495094" w:rsidRDefault="004520DB" w:rsidP="004520DB">
            <w:pPr>
              <w:rPr>
                <w:rFonts w:ascii="Arial" w:hAnsi="Arial" w:cs="Arial"/>
                <w:iCs/>
                <w:sz w:val="22"/>
                <w:szCs w:val="22"/>
              </w:rPr>
            </w:pPr>
          </w:p>
        </w:tc>
        <w:tc>
          <w:tcPr>
            <w:tcW w:w="1995" w:type="dxa"/>
            <w:tcBorders>
              <w:top w:val="double" w:sz="4" w:space="0" w:color="auto"/>
              <w:left w:val="nil"/>
              <w:bottom w:val="single" w:sz="4" w:space="0" w:color="auto"/>
              <w:right w:val="nil"/>
            </w:tcBorders>
            <w:shd w:val="clear" w:color="auto" w:fill="auto"/>
            <w:noWrap/>
            <w:vAlign w:val="bottom"/>
            <w:hideMark/>
          </w:tcPr>
          <w:p w14:paraId="58D54F99" w14:textId="40FDF000" w:rsidR="004520DB" w:rsidRPr="00495094" w:rsidRDefault="004520DB" w:rsidP="004520DB">
            <w:pPr>
              <w:jc w:val="right"/>
              <w:rPr>
                <w:rFonts w:ascii="Arial" w:hAnsi="Arial" w:cs="Arial"/>
                <w:iCs/>
                <w:sz w:val="22"/>
                <w:szCs w:val="22"/>
              </w:rPr>
            </w:pPr>
          </w:p>
        </w:tc>
      </w:tr>
      <w:tr w:rsidR="00495094" w:rsidRPr="00495094" w14:paraId="6763ADA1" w14:textId="77777777" w:rsidTr="007A10F3">
        <w:trPr>
          <w:trHeight w:val="187"/>
        </w:trPr>
        <w:tc>
          <w:tcPr>
            <w:tcW w:w="5421" w:type="dxa"/>
            <w:tcBorders>
              <w:top w:val="single" w:sz="4" w:space="0" w:color="auto"/>
              <w:left w:val="nil"/>
              <w:bottom w:val="nil"/>
              <w:right w:val="nil"/>
            </w:tcBorders>
            <w:shd w:val="clear" w:color="auto" w:fill="auto"/>
            <w:vAlign w:val="center"/>
            <w:hideMark/>
          </w:tcPr>
          <w:p w14:paraId="7500D58C" w14:textId="57F7FEE5"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Information technology</w:t>
            </w:r>
          </w:p>
        </w:tc>
        <w:tc>
          <w:tcPr>
            <w:tcW w:w="813" w:type="dxa"/>
            <w:tcBorders>
              <w:top w:val="single" w:sz="4" w:space="0" w:color="auto"/>
              <w:left w:val="nil"/>
              <w:bottom w:val="nil"/>
              <w:right w:val="nil"/>
            </w:tcBorders>
            <w:shd w:val="clear" w:color="auto" w:fill="auto"/>
            <w:vAlign w:val="center"/>
            <w:hideMark/>
          </w:tcPr>
          <w:p w14:paraId="3C0D4CDA" w14:textId="77777777" w:rsidR="00D921BD" w:rsidRPr="00495094" w:rsidRDefault="00D921BD" w:rsidP="00D921BD">
            <w:pPr>
              <w:rPr>
                <w:rFonts w:ascii="Arial" w:hAnsi="Arial" w:cs="Arial"/>
                <w:iCs/>
                <w:sz w:val="22"/>
                <w:szCs w:val="22"/>
              </w:rPr>
            </w:pPr>
          </w:p>
        </w:tc>
        <w:tc>
          <w:tcPr>
            <w:tcW w:w="1995" w:type="dxa"/>
            <w:tcBorders>
              <w:top w:val="single" w:sz="4" w:space="0" w:color="auto"/>
              <w:left w:val="nil"/>
              <w:bottom w:val="nil"/>
              <w:right w:val="nil"/>
            </w:tcBorders>
            <w:shd w:val="clear" w:color="auto" w:fill="auto"/>
            <w:noWrap/>
            <w:vAlign w:val="bottom"/>
            <w:hideMark/>
          </w:tcPr>
          <w:p w14:paraId="654A1DBC" w14:textId="1FDB1EF3" w:rsidR="00D921BD" w:rsidRPr="00495094" w:rsidRDefault="00864A8F" w:rsidP="00D921BD">
            <w:pPr>
              <w:jc w:val="right"/>
              <w:rPr>
                <w:rFonts w:ascii="Arial" w:hAnsi="Arial" w:cs="Arial"/>
                <w:iCs/>
                <w:sz w:val="22"/>
                <w:szCs w:val="22"/>
              </w:rPr>
            </w:pPr>
            <w:r w:rsidRPr="00495094">
              <w:rPr>
                <w:rFonts w:ascii="Arial" w:hAnsi="Arial" w:cs="Arial"/>
                <w:iCs/>
                <w:sz w:val="22"/>
                <w:szCs w:val="22"/>
              </w:rPr>
              <w:t>20,171,290</w:t>
            </w:r>
          </w:p>
        </w:tc>
      </w:tr>
      <w:tr w:rsidR="00495094" w:rsidRPr="00495094" w14:paraId="5EC9A674" w14:textId="77777777" w:rsidTr="007A10F3">
        <w:trPr>
          <w:trHeight w:val="105"/>
        </w:trPr>
        <w:tc>
          <w:tcPr>
            <w:tcW w:w="5421" w:type="dxa"/>
            <w:tcBorders>
              <w:top w:val="nil"/>
              <w:left w:val="nil"/>
              <w:right w:val="nil"/>
            </w:tcBorders>
            <w:shd w:val="clear" w:color="auto" w:fill="auto"/>
            <w:noWrap/>
            <w:vAlign w:val="center"/>
            <w:hideMark/>
          </w:tcPr>
          <w:p w14:paraId="7608EEC0" w14:textId="59860021"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Management and other professional fees</w:t>
            </w:r>
          </w:p>
        </w:tc>
        <w:tc>
          <w:tcPr>
            <w:tcW w:w="813" w:type="dxa"/>
            <w:tcBorders>
              <w:top w:val="nil"/>
              <w:left w:val="nil"/>
              <w:right w:val="nil"/>
            </w:tcBorders>
            <w:shd w:val="clear" w:color="auto" w:fill="auto"/>
            <w:vAlign w:val="center"/>
            <w:hideMark/>
          </w:tcPr>
          <w:p w14:paraId="4FBC1FDB" w14:textId="7E41CA0A" w:rsidR="00D921BD" w:rsidRPr="00495094" w:rsidRDefault="00D921B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hideMark/>
          </w:tcPr>
          <w:p w14:paraId="7F1EE1CE" w14:textId="3ADE210F" w:rsidR="00D921BD" w:rsidRPr="00495094" w:rsidRDefault="00465E97" w:rsidP="00465E97">
            <w:pPr>
              <w:jc w:val="right"/>
              <w:rPr>
                <w:rFonts w:ascii="Arial" w:hAnsi="Arial" w:cs="Arial"/>
                <w:iCs/>
                <w:sz w:val="22"/>
                <w:szCs w:val="22"/>
                <w:highlight w:val="yellow"/>
              </w:rPr>
            </w:pPr>
            <w:r w:rsidRPr="00495094">
              <w:rPr>
                <w:rFonts w:ascii="Arial" w:hAnsi="Arial" w:cs="Arial"/>
                <w:iCs/>
                <w:sz w:val="22"/>
                <w:szCs w:val="22"/>
              </w:rPr>
              <w:t>5</w:t>
            </w:r>
            <w:r w:rsidR="00E71106" w:rsidRPr="00495094">
              <w:rPr>
                <w:rFonts w:ascii="Arial" w:hAnsi="Arial" w:cs="Arial"/>
                <w:iCs/>
                <w:sz w:val="22"/>
                <w:szCs w:val="22"/>
              </w:rPr>
              <w:t>1</w:t>
            </w:r>
            <w:r w:rsidR="00864A8F" w:rsidRPr="00495094">
              <w:rPr>
                <w:rFonts w:ascii="Arial" w:hAnsi="Arial" w:cs="Arial"/>
                <w:iCs/>
                <w:sz w:val="22"/>
                <w:szCs w:val="22"/>
              </w:rPr>
              <w:t>,</w:t>
            </w:r>
            <w:r w:rsidRPr="00495094">
              <w:rPr>
                <w:rFonts w:ascii="Arial" w:hAnsi="Arial" w:cs="Arial"/>
                <w:iCs/>
                <w:sz w:val="22"/>
                <w:szCs w:val="22"/>
              </w:rPr>
              <w:t>976</w:t>
            </w:r>
            <w:r w:rsidR="00864A8F" w:rsidRPr="00495094">
              <w:rPr>
                <w:rFonts w:ascii="Arial" w:hAnsi="Arial" w:cs="Arial"/>
                <w:iCs/>
                <w:sz w:val="22"/>
                <w:szCs w:val="22"/>
              </w:rPr>
              <w:t>,</w:t>
            </w:r>
            <w:r w:rsidRPr="00495094">
              <w:rPr>
                <w:rFonts w:ascii="Arial" w:hAnsi="Arial" w:cs="Arial"/>
                <w:iCs/>
                <w:sz w:val="22"/>
                <w:szCs w:val="22"/>
              </w:rPr>
              <w:t>926</w:t>
            </w:r>
          </w:p>
        </w:tc>
      </w:tr>
      <w:tr w:rsidR="00495094" w:rsidRPr="00495094" w14:paraId="36361D75" w14:textId="77777777" w:rsidTr="007A10F3">
        <w:trPr>
          <w:trHeight w:val="105"/>
        </w:trPr>
        <w:tc>
          <w:tcPr>
            <w:tcW w:w="5421" w:type="dxa"/>
            <w:tcBorders>
              <w:top w:val="nil"/>
              <w:left w:val="nil"/>
              <w:right w:val="nil"/>
            </w:tcBorders>
            <w:shd w:val="clear" w:color="auto" w:fill="auto"/>
            <w:noWrap/>
            <w:vAlign w:val="center"/>
          </w:tcPr>
          <w:p w14:paraId="6C20B5D4" w14:textId="33A1055D"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Stationeries and Supplies</w:t>
            </w:r>
          </w:p>
        </w:tc>
        <w:tc>
          <w:tcPr>
            <w:tcW w:w="813" w:type="dxa"/>
            <w:tcBorders>
              <w:top w:val="nil"/>
              <w:left w:val="nil"/>
              <w:right w:val="nil"/>
            </w:tcBorders>
            <w:shd w:val="clear" w:color="auto" w:fill="auto"/>
            <w:vAlign w:val="center"/>
          </w:tcPr>
          <w:p w14:paraId="3DEC76A2" w14:textId="77777777" w:rsidR="00D921BD" w:rsidRPr="00495094" w:rsidRDefault="00D921B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338FFEFE" w14:textId="09CA15AE" w:rsidR="00D921BD" w:rsidRPr="00495094" w:rsidRDefault="00465E97" w:rsidP="00465E97">
            <w:pPr>
              <w:jc w:val="right"/>
              <w:rPr>
                <w:rFonts w:ascii="Arial" w:hAnsi="Arial" w:cs="Arial"/>
                <w:iCs/>
                <w:sz w:val="22"/>
                <w:szCs w:val="22"/>
              </w:rPr>
            </w:pPr>
            <w:r w:rsidRPr="00495094">
              <w:rPr>
                <w:rFonts w:ascii="Arial" w:hAnsi="Arial" w:cs="Arial"/>
                <w:iCs/>
                <w:sz w:val="22"/>
                <w:szCs w:val="22"/>
              </w:rPr>
              <w:t>8</w:t>
            </w:r>
            <w:r w:rsidR="00864A8F" w:rsidRPr="00495094">
              <w:rPr>
                <w:rFonts w:ascii="Arial" w:hAnsi="Arial" w:cs="Arial"/>
                <w:iCs/>
                <w:sz w:val="22"/>
                <w:szCs w:val="22"/>
              </w:rPr>
              <w:t>1</w:t>
            </w:r>
            <w:r w:rsidRPr="00495094">
              <w:rPr>
                <w:rFonts w:ascii="Arial" w:hAnsi="Arial" w:cs="Arial"/>
                <w:iCs/>
                <w:sz w:val="22"/>
                <w:szCs w:val="22"/>
              </w:rPr>
              <w:t>9</w:t>
            </w:r>
            <w:r w:rsidR="00864A8F" w:rsidRPr="00495094">
              <w:rPr>
                <w:rFonts w:ascii="Arial" w:hAnsi="Arial" w:cs="Arial"/>
                <w:iCs/>
                <w:sz w:val="22"/>
                <w:szCs w:val="22"/>
              </w:rPr>
              <w:t>,</w:t>
            </w:r>
            <w:r w:rsidRPr="00495094">
              <w:rPr>
                <w:rFonts w:ascii="Arial" w:hAnsi="Arial" w:cs="Arial"/>
                <w:iCs/>
                <w:sz w:val="22"/>
                <w:szCs w:val="22"/>
              </w:rPr>
              <w:t>6</w:t>
            </w:r>
            <w:r w:rsidR="00864A8F" w:rsidRPr="00495094">
              <w:rPr>
                <w:rFonts w:ascii="Arial" w:hAnsi="Arial" w:cs="Arial"/>
                <w:iCs/>
                <w:sz w:val="22"/>
                <w:szCs w:val="22"/>
              </w:rPr>
              <w:t>0</w:t>
            </w:r>
            <w:r w:rsidRPr="00495094">
              <w:rPr>
                <w:rFonts w:ascii="Arial" w:hAnsi="Arial" w:cs="Arial"/>
                <w:iCs/>
                <w:sz w:val="22"/>
                <w:szCs w:val="22"/>
              </w:rPr>
              <w:t>7</w:t>
            </w:r>
          </w:p>
        </w:tc>
      </w:tr>
      <w:tr w:rsidR="00495094" w:rsidRPr="00495094" w14:paraId="7892B938" w14:textId="77777777" w:rsidTr="007A10F3">
        <w:trPr>
          <w:trHeight w:val="105"/>
        </w:trPr>
        <w:tc>
          <w:tcPr>
            <w:tcW w:w="5421" w:type="dxa"/>
            <w:tcBorders>
              <w:top w:val="nil"/>
              <w:left w:val="nil"/>
              <w:right w:val="nil"/>
            </w:tcBorders>
            <w:shd w:val="clear" w:color="auto" w:fill="auto"/>
            <w:noWrap/>
            <w:vAlign w:val="center"/>
          </w:tcPr>
          <w:p w14:paraId="177972B8" w14:textId="26375074"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Fees and Commissions</w:t>
            </w:r>
          </w:p>
        </w:tc>
        <w:tc>
          <w:tcPr>
            <w:tcW w:w="813" w:type="dxa"/>
            <w:tcBorders>
              <w:top w:val="nil"/>
              <w:left w:val="nil"/>
              <w:right w:val="nil"/>
            </w:tcBorders>
            <w:shd w:val="clear" w:color="auto" w:fill="auto"/>
            <w:vAlign w:val="center"/>
          </w:tcPr>
          <w:p w14:paraId="2932C646" w14:textId="77777777" w:rsidR="00D921BD" w:rsidRPr="00495094" w:rsidRDefault="00D921B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1BED4592" w14:textId="32BBB072" w:rsidR="00D921BD" w:rsidRPr="00495094" w:rsidRDefault="00465E97" w:rsidP="00465E97">
            <w:pPr>
              <w:jc w:val="right"/>
              <w:rPr>
                <w:rFonts w:ascii="Arial" w:hAnsi="Arial" w:cs="Arial"/>
                <w:iCs/>
                <w:sz w:val="22"/>
                <w:szCs w:val="22"/>
              </w:rPr>
            </w:pPr>
            <w:r w:rsidRPr="00495094">
              <w:rPr>
                <w:rFonts w:ascii="Arial" w:hAnsi="Arial" w:cs="Arial"/>
                <w:iCs/>
                <w:sz w:val="22"/>
                <w:szCs w:val="22"/>
              </w:rPr>
              <w:t>1,6</w:t>
            </w:r>
            <w:r w:rsidR="00ED0A96" w:rsidRPr="00495094">
              <w:rPr>
                <w:rFonts w:ascii="Arial" w:hAnsi="Arial" w:cs="Arial"/>
                <w:iCs/>
                <w:sz w:val="22"/>
                <w:szCs w:val="22"/>
              </w:rPr>
              <w:t>02,</w:t>
            </w:r>
            <w:r w:rsidRPr="00495094">
              <w:rPr>
                <w:rFonts w:ascii="Arial" w:hAnsi="Arial" w:cs="Arial"/>
                <w:iCs/>
                <w:sz w:val="22"/>
                <w:szCs w:val="22"/>
              </w:rPr>
              <w:t>450</w:t>
            </w:r>
          </w:p>
        </w:tc>
      </w:tr>
      <w:tr w:rsidR="00495094" w:rsidRPr="00495094" w14:paraId="4A8C66EB" w14:textId="77777777" w:rsidTr="007A10F3">
        <w:trPr>
          <w:trHeight w:val="105"/>
        </w:trPr>
        <w:tc>
          <w:tcPr>
            <w:tcW w:w="5421" w:type="dxa"/>
            <w:tcBorders>
              <w:top w:val="nil"/>
              <w:left w:val="nil"/>
              <w:right w:val="nil"/>
            </w:tcBorders>
            <w:shd w:val="clear" w:color="auto" w:fill="auto"/>
            <w:noWrap/>
            <w:vAlign w:val="center"/>
          </w:tcPr>
          <w:p w14:paraId="20A93767" w14:textId="331639A0"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Security Services</w:t>
            </w:r>
          </w:p>
        </w:tc>
        <w:tc>
          <w:tcPr>
            <w:tcW w:w="813" w:type="dxa"/>
            <w:tcBorders>
              <w:top w:val="nil"/>
              <w:left w:val="nil"/>
              <w:right w:val="nil"/>
            </w:tcBorders>
            <w:shd w:val="clear" w:color="auto" w:fill="auto"/>
            <w:vAlign w:val="center"/>
          </w:tcPr>
          <w:p w14:paraId="16BF2CCF" w14:textId="77777777" w:rsidR="00D921BD" w:rsidRPr="00495094" w:rsidRDefault="00D921B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3F26B221" w14:textId="45D4DA25" w:rsidR="00D921BD" w:rsidRPr="00495094" w:rsidRDefault="00ED0A96" w:rsidP="00D921BD">
            <w:pPr>
              <w:jc w:val="right"/>
              <w:rPr>
                <w:rFonts w:ascii="Arial" w:hAnsi="Arial" w:cs="Arial"/>
                <w:iCs/>
                <w:sz w:val="22"/>
                <w:szCs w:val="22"/>
              </w:rPr>
            </w:pPr>
            <w:r w:rsidRPr="00495094">
              <w:rPr>
                <w:rFonts w:ascii="Arial" w:hAnsi="Arial" w:cs="Arial"/>
                <w:iCs/>
                <w:sz w:val="22"/>
                <w:szCs w:val="22"/>
              </w:rPr>
              <w:t>780,045</w:t>
            </w:r>
          </w:p>
        </w:tc>
      </w:tr>
      <w:tr w:rsidR="00495094" w:rsidRPr="00495094" w14:paraId="079BC67F" w14:textId="77777777" w:rsidTr="007A10F3">
        <w:trPr>
          <w:trHeight w:val="105"/>
        </w:trPr>
        <w:tc>
          <w:tcPr>
            <w:tcW w:w="5421" w:type="dxa"/>
            <w:tcBorders>
              <w:top w:val="nil"/>
              <w:left w:val="nil"/>
              <w:right w:val="nil"/>
            </w:tcBorders>
            <w:shd w:val="clear" w:color="auto" w:fill="auto"/>
            <w:noWrap/>
            <w:vAlign w:val="center"/>
          </w:tcPr>
          <w:p w14:paraId="5514DA68" w14:textId="76502CBC"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Advertising and Publicity</w:t>
            </w:r>
          </w:p>
        </w:tc>
        <w:tc>
          <w:tcPr>
            <w:tcW w:w="813" w:type="dxa"/>
            <w:tcBorders>
              <w:top w:val="nil"/>
              <w:left w:val="nil"/>
              <w:right w:val="nil"/>
            </w:tcBorders>
            <w:shd w:val="clear" w:color="auto" w:fill="auto"/>
            <w:vAlign w:val="center"/>
          </w:tcPr>
          <w:p w14:paraId="1C0BBDDF" w14:textId="77777777" w:rsidR="00D921BD" w:rsidRPr="00495094" w:rsidRDefault="00D921B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097FD1AE" w14:textId="2ED8B241" w:rsidR="00D921BD" w:rsidRPr="00495094" w:rsidRDefault="00ED0A96" w:rsidP="00D921BD">
            <w:pPr>
              <w:jc w:val="right"/>
              <w:rPr>
                <w:rFonts w:ascii="Arial" w:hAnsi="Arial" w:cs="Arial"/>
                <w:iCs/>
                <w:sz w:val="22"/>
                <w:szCs w:val="22"/>
              </w:rPr>
            </w:pPr>
            <w:r w:rsidRPr="00495094">
              <w:rPr>
                <w:rFonts w:ascii="Arial" w:hAnsi="Arial" w:cs="Arial"/>
                <w:iCs/>
                <w:sz w:val="22"/>
                <w:szCs w:val="22"/>
              </w:rPr>
              <w:t>1,343,545</w:t>
            </w:r>
          </w:p>
        </w:tc>
      </w:tr>
      <w:tr w:rsidR="00495094" w:rsidRPr="00495094" w14:paraId="2C9E63C2" w14:textId="77777777" w:rsidTr="007A10F3">
        <w:trPr>
          <w:trHeight w:val="105"/>
        </w:trPr>
        <w:tc>
          <w:tcPr>
            <w:tcW w:w="5421" w:type="dxa"/>
            <w:tcBorders>
              <w:top w:val="nil"/>
              <w:left w:val="nil"/>
              <w:right w:val="nil"/>
            </w:tcBorders>
            <w:shd w:val="clear" w:color="auto" w:fill="auto"/>
            <w:noWrap/>
            <w:vAlign w:val="center"/>
          </w:tcPr>
          <w:p w14:paraId="566B2897" w14:textId="5365DAB3" w:rsidR="00D564DD" w:rsidRPr="00495094" w:rsidRDefault="00D564DD" w:rsidP="00D921BD">
            <w:pPr>
              <w:ind w:left="-108"/>
              <w:jc w:val="left"/>
              <w:rPr>
                <w:rFonts w:ascii="Arial" w:hAnsi="Arial" w:cs="Arial"/>
                <w:iCs/>
                <w:sz w:val="22"/>
                <w:szCs w:val="22"/>
              </w:rPr>
            </w:pPr>
            <w:r w:rsidRPr="00495094">
              <w:rPr>
                <w:rFonts w:ascii="Arial" w:hAnsi="Arial" w:cs="Arial"/>
                <w:iCs/>
                <w:sz w:val="22"/>
                <w:szCs w:val="22"/>
              </w:rPr>
              <w:t>Employee Benefits (Seminars)</w:t>
            </w:r>
          </w:p>
        </w:tc>
        <w:tc>
          <w:tcPr>
            <w:tcW w:w="813" w:type="dxa"/>
            <w:tcBorders>
              <w:top w:val="nil"/>
              <w:left w:val="nil"/>
              <w:right w:val="nil"/>
            </w:tcBorders>
            <w:shd w:val="clear" w:color="auto" w:fill="auto"/>
            <w:vAlign w:val="center"/>
          </w:tcPr>
          <w:p w14:paraId="6801034B" w14:textId="77777777" w:rsidR="00D564DD" w:rsidRPr="00495094" w:rsidRDefault="00D564DD"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09E8374E" w14:textId="0583DAF9" w:rsidR="00D564DD" w:rsidRPr="00495094" w:rsidRDefault="00D564DD" w:rsidP="00D921BD">
            <w:pPr>
              <w:jc w:val="right"/>
              <w:rPr>
                <w:rFonts w:ascii="Arial" w:hAnsi="Arial" w:cs="Arial"/>
                <w:iCs/>
                <w:sz w:val="22"/>
                <w:szCs w:val="22"/>
              </w:rPr>
            </w:pPr>
            <w:r w:rsidRPr="00495094">
              <w:rPr>
                <w:rFonts w:ascii="Arial" w:hAnsi="Arial" w:cs="Arial"/>
                <w:iCs/>
                <w:sz w:val="22"/>
                <w:szCs w:val="22"/>
              </w:rPr>
              <w:t>7,000</w:t>
            </w:r>
          </w:p>
        </w:tc>
      </w:tr>
      <w:tr w:rsidR="00495094" w:rsidRPr="00495094" w14:paraId="09160C47" w14:textId="77777777" w:rsidTr="007A10F3">
        <w:trPr>
          <w:trHeight w:val="105"/>
        </w:trPr>
        <w:tc>
          <w:tcPr>
            <w:tcW w:w="5421" w:type="dxa"/>
            <w:tcBorders>
              <w:top w:val="nil"/>
              <w:left w:val="nil"/>
              <w:right w:val="nil"/>
            </w:tcBorders>
            <w:shd w:val="clear" w:color="auto" w:fill="auto"/>
            <w:noWrap/>
            <w:vAlign w:val="center"/>
          </w:tcPr>
          <w:p w14:paraId="7EF0A1CF" w14:textId="2DE1B093" w:rsidR="00465E97" w:rsidRPr="00495094" w:rsidRDefault="00465E97" w:rsidP="00D921BD">
            <w:pPr>
              <w:ind w:left="-108"/>
              <w:jc w:val="left"/>
              <w:rPr>
                <w:rFonts w:ascii="Arial" w:hAnsi="Arial" w:cs="Arial"/>
                <w:iCs/>
                <w:sz w:val="22"/>
                <w:szCs w:val="22"/>
              </w:rPr>
            </w:pPr>
            <w:r w:rsidRPr="00495094">
              <w:rPr>
                <w:rFonts w:ascii="Arial" w:hAnsi="Arial" w:cs="Arial"/>
                <w:iCs/>
                <w:sz w:val="22"/>
                <w:szCs w:val="22"/>
              </w:rPr>
              <w:t>Postage, cables, telephone and telegraph</w:t>
            </w:r>
          </w:p>
        </w:tc>
        <w:tc>
          <w:tcPr>
            <w:tcW w:w="813" w:type="dxa"/>
            <w:tcBorders>
              <w:top w:val="nil"/>
              <w:left w:val="nil"/>
              <w:right w:val="nil"/>
            </w:tcBorders>
            <w:shd w:val="clear" w:color="auto" w:fill="auto"/>
            <w:vAlign w:val="center"/>
          </w:tcPr>
          <w:p w14:paraId="707C82C6" w14:textId="77777777" w:rsidR="00465E97" w:rsidRPr="00495094" w:rsidRDefault="00465E97"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73B1DA71" w14:textId="463FB465" w:rsidR="00465E97" w:rsidRPr="00495094" w:rsidRDefault="00465E97" w:rsidP="00D921BD">
            <w:pPr>
              <w:jc w:val="right"/>
              <w:rPr>
                <w:rFonts w:ascii="Arial" w:hAnsi="Arial" w:cs="Arial"/>
                <w:iCs/>
                <w:sz w:val="22"/>
                <w:szCs w:val="22"/>
              </w:rPr>
            </w:pPr>
            <w:r w:rsidRPr="00495094">
              <w:rPr>
                <w:rFonts w:ascii="Arial" w:hAnsi="Arial" w:cs="Arial"/>
                <w:iCs/>
                <w:sz w:val="22"/>
                <w:szCs w:val="22"/>
              </w:rPr>
              <w:t>1,856,269</w:t>
            </w:r>
          </w:p>
        </w:tc>
      </w:tr>
      <w:tr w:rsidR="00495094" w:rsidRPr="00495094" w14:paraId="36E8094D" w14:textId="77777777" w:rsidTr="007A10F3">
        <w:trPr>
          <w:trHeight w:val="265"/>
        </w:trPr>
        <w:tc>
          <w:tcPr>
            <w:tcW w:w="5421" w:type="dxa"/>
            <w:tcBorders>
              <w:top w:val="nil"/>
              <w:left w:val="nil"/>
              <w:right w:val="nil"/>
            </w:tcBorders>
            <w:shd w:val="clear" w:color="auto" w:fill="auto"/>
            <w:noWrap/>
            <w:vAlign w:val="center"/>
          </w:tcPr>
          <w:p w14:paraId="79038B7A" w14:textId="7B0C3649"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Fuel and Lubricants</w:t>
            </w:r>
          </w:p>
        </w:tc>
        <w:tc>
          <w:tcPr>
            <w:tcW w:w="813" w:type="dxa"/>
            <w:tcBorders>
              <w:top w:val="nil"/>
              <w:left w:val="nil"/>
              <w:right w:val="nil"/>
            </w:tcBorders>
            <w:shd w:val="clear" w:color="auto" w:fill="auto"/>
            <w:vAlign w:val="center"/>
          </w:tcPr>
          <w:p w14:paraId="180AB146" w14:textId="7EF5FE20" w:rsidR="00D921BD" w:rsidRPr="00495094" w:rsidRDefault="00D921BD" w:rsidP="00D921BD">
            <w:pPr>
              <w:jc w:val="right"/>
              <w:rPr>
                <w:rFonts w:ascii="Arial" w:hAnsi="Arial" w:cs="Arial"/>
                <w:iCs/>
                <w:sz w:val="22"/>
                <w:szCs w:val="22"/>
              </w:rPr>
            </w:pPr>
            <w:r w:rsidRPr="00495094">
              <w:rPr>
                <w:rFonts w:ascii="Arial" w:hAnsi="Arial" w:cs="Arial"/>
                <w:iCs/>
                <w:sz w:val="22"/>
                <w:szCs w:val="22"/>
              </w:rPr>
              <w:t> </w:t>
            </w:r>
          </w:p>
        </w:tc>
        <w:tc>
          <w:tcPr>
            <w:tcW w:w="1995" w:type="dxa"/>
            <w:tcBorders>
              <w:top w:val="nil"/>
              <w:left w:val="nil"/>
              <w:right w:val="nil"/>
            </w:tcBorders>
            <w:shd w:val="clear" w:color="auto" w:fill="auto"/>
            <w:noWrap/>
            <w:vAlign w:val="bottom"/>
          </w:tcPr>
          <w:p w14:paraId="6D3F77E9" w14:textId="59B2870C" w:rsidR="00D921BD" w:rsidRPr="00495094" w:rsidRDefault="00ED0A96" w:rsidP="00465E97">
            <w:pPr>
              <w:jc w:val="right"/>
              <w:rPr>
                <w:rFonts w:ascii="Arial" w:hAnsi="Arial" w:cs="Arial"/>
                <w:iCs/>
                <w:sz w:val="22"/>
                <w:szCs w:val="22"/>
              </w:rPr>
            </w:pPr>
            <w:r w:rsidRPr="00495094">
              <w:rPr>
                <w:rFonts w:ascii="Arial" w:hAnsi="Arial" w:cs="Arial"/>
                <w:iCs/>
                <w:sz w:val="22"/>
                <w:szCs w:val="22"/>
              </w:rPr>
              <w:t>1</w:t>
            </w:r>
            <w:r w:rsidR="00465E97" w:rsidRPr="00495094">
              <w:rPr>
                <w:rFonts w:ascii="Arial" w:hAnsi="Arial" w:cs="Arial"/>
                <w:iCs/>
                <w:sz w:val="22"/>
                <w:szCs w:val="22"/>
              </w:rPr>
              <w:t>51</w:t>
            </w:r>
            <w:r w:rsidRPr="00495094">
              <w:rPr>
                <w:rFonts w:ascii="Arial" w:hAnsi="Arial" w:cs="Arial"/>
                <w:iCs/>
                <w:sz w:val="22"/>
                <w:szCs w:val="22"/>
              </w:rPr>
              <w:t>,</w:t>
            </w:r>
            <w:r w:rsidR="00465E97" w:rsidRPr="00495094">
              <w:rPr>
                <w:rFonts w:ascii="Arial" w:hAnsi="Arial" w:cs="Arial"/>
                <w:iCs/>
                <w:sz w:val="22"/>
                <w:szCs w:val="22"/>
              </w:rPr>
              <w:t>977</w:t>
            </w:r>
          </w:p>
        </w:tc>
      </w:tr>
      <w:tr w:rsidR="00495094" w:rsidRPr="00495094" w14:paraId="55B83DE1" w14:textId="77777777" w:rsidTr="007A10F3">
        <w:trPr>
          <w:trHeight w:val="265"/>
        </w:trPr>
        <w:tc>
          <w:tcPr>
            <w:tcW w:w="5421" w:type="dxa"/>
            <w:tcBorders>
              <w:top w:val="nil"/>
              <w:left w:val="nil"/>
              <w:right w:val="nil"/>
            </w:tcBorders>
            <w:shd w:val="clear" w:color="auto" w:fill="auto"/>
            <w:noWrap/>
            <w:vAlign w:val="center"/>
          </w:tcPr>
          <w:p w14:paraId="467A2F40" w14:textId="182AB4A9" w:rsidR="00465E97" w:rsidRPr="00495094" w:rsidRDefault="00465E97" w:rsidP="00D921BD">
            <w:pPr>
              <w:ind w:left="-108"/>
              <w:jc w:val="left"/>
              <w:rPr>
                <w:rFonts w:ascii="Arial" w:hAnsi="Arial" w:cs="Arial"/>
                <w:iCs/>
                <w:sz w:val="22"/>
                <w:szCs w:val="22"/>
              </w:rPr>
            </w:pPr>
            <w:r w:rsidRPr="00495094">
              <w:rPr>
                <w:rFonts w:ascii="Arial" w:hAnsi="Arial" w:cs="Arial"/>
                <w:iCs/>
                <w:sz w:val="22"/>
                <w:szCs w:val="22"/>
              </w:rPr>
              <w:t>Travelling expense</w:t>
            </w:r>
          </w:p>
        </w:tc>
        <w:tc>
          <w:tcPr>
            <w:tcW w:w="813" w:type="dxa"/>
            <w:tcBorders>
              <w:top w:val="nil"/>
              <w:left w:val="nil"/>
              <w:right w:val="nil"/>
            </w:tcBorders>
            <w:shd w:val="clear" w:color="auto" w:fill="auto"/>
            <w:vAlign w:val="center"/>
          </w:tcPr>
          <w:p w14:paraId="58739492" w14:textId="77777777" w:rsidR="00465E97" w:rsidRPr="00495094" w:rsidRDefault="00465E97" w:rsidP="00D921BD">
            <w:pPr>
              <w:jc w:val="right"/>
              <w:rPr>
                <w:rFonts w:ascii="Arial" w:hAnsi="Arial" w:cs="Arial"/>
                <w:iCs/>
                <w:sz w:val="22"/>
                <w:szCs w:val="22"/>
              </w:rPr>
            </w:pPr>
          </w:p>
        </w:tc>
        <w:tc>
          <w:tcPr>
            <w:tcW w:w="1995" w:type="dxa"/>
            <w:tcBorders>
              <w:top w:val="nil"/>
              <w:left w:val="nil"/>
              <w:right w:val="nil"/>
            </w:tcBorders>
            <w:shd w:val="clear" w:color="auto" w:fill="auto"/>
            <w:noWrap/>
            <w:vAlign w:val="bottom"/>
          </w:tcPr>
          <w:p w14:paraId="65179B93" w14:textId="39617BA8" w:rsidR="00465E97" w:rsidRPr="00495094" w:rsidRDefault="00465E97" w:rsidP="00D921BD">
            <w:pPr>
              <w:jc w:val="right"/>
              <w:rPr>
                <w:rFonts w:ascii="Arial" w:hAnsi="Arial" w:cs="Arial"/>
                <w:iCs/>
                <w:sz w:val="22"/>
                <w:szCs w:val="22"/>
              </w:rPr>
            </w:pPr>
            <w:r w:rsidRPr="00495094">
              <w:rPr>
                <w:rFonts w:ascii="Arial" w:hAnsi="Arial" w:cs="Arial"/>
                <w:iCs/>
                <w:sz w:val="22"/>
                <w:szCs w:val="22"/>
              </w:rPr>
              <w:t>1,223,200</w:t>
            </w:r>
          </w:p>
        </w:tc>
      </w:tr>
      <w:tr w:rsidR="00495094" w:rsidRPr="00495094" w14:paraId="299C5CE2" w14:textId="77777777" w:rsidTr="007A10F3">
        <w:trPr>
          <w:trHeight w:val="265"/>
        </w:trPr>
        <w:tc>
          <w:tcPr>
            <w:tcW w:w="5421" w:type="dxa"/>
            <w:tcBorders>
              <w:top w:val="nil"/>
              <w:left w:val="nil"/>
              <w:right w:val="nil"/>
            </w:tcBorders>
            <w:shd w:val="clear" w:color="auto" w:fill="auto"/>
            <w:noWrap/>
            <w:vAlign w:val="center"/>
          </w:tcPr>
          <w:p w14:paraId="55BAFA46" w14:textId="2976CC90" w:rsidR="00D921BD" w:rsidRPr="00495094" w:rsidRDefault="00D921BD" w:rsidP="00D921BD">
            <w:pPr>
              <w:ind w:left="-108"/>
              <w:jc w:val="left"/>
              <w:rPr>
                <w:rFonts w:ascii="Arial" w:hAnsi="Arial" w:cs="Arial"/>
                <w:iCs/>
                <w:sz w:val="22"/>
                <w:szCs w:val="22"/>
              </w:rPr>
            </w:pPr>
            <w:r w:rsidRPr="00495094">
              <w:rPr>
                <w:rFonts w:ascii="Arial" w:hAnsi="Arial" w:cs="Arial"/>
                <w:iCs/>
                <w:sz w:val="22"/>
                <w:szCs w:val="22"/>
              </w:rPr>
              <w:t>Interest expense</w:t>
            </w:r>
          </w:p>
        </w:tc>
        <w:tc>
          <w:tcPr>
            <w:tcW w:w="813" w:type="dxa"/>
            <w:tcBorders>
              <w:left w:val="nil"/>
              <w:bottom w:val="single" w:sz="4" w:space="0" w:color="auto"/>
              <w:right w:val="nil"/>
            </w:tcBorders>
            <w:shd w:val="clear" w:color="auto" w:fill="auto"/>
            <w:vAlign w:val="center"/>
          </w:tcPr>
          <w:p w14:paraId="0120303E" w14:textId="77777777" w:rsidR="00D921BD" w:rsidRPr="00495094" w:rsidRDefault="00D921BD" w:rsidP="00D921BD">
            <w:pPr>
              <w:jc w:val="right"/>
              <w:rPr>
                <w:rFonts w:ascii="Arial" w:hAnsi="Arial" w:cs="Arial"/>
                <w:iCs/>
                <w:sz w:val="22"/>
                <w:szCs w:val="22"/>
              </w:rPr>
            </w:pPr>
          </w:p>
        </w:tc>
        <w:tc>
          <w:tcPr>
            <w:tcW w:w="1995" w:type="dxa"/>
            <w:tcBorders>
              <w:top w:val="nil"/>
              <w:left w:val="nil"/>
              <w:bottom w:val="single" w:sz="4" w:space="0" w:color="auto"/>
              <w:right w:val="nil"/>
            </w:tcBorders>
            <w:shd w:val="clear" w:color="auto" w:fill="auto"/>
            <w:noWrap/>
            <w:vAlign w:val="bottom"/>
          </w:tcPr>
          <w:p w14:paraId="4AE761B6" w14:textId="1279C2FF" w:rsidR="00D921BD" w:rsidRPr="00495094" w:rsidRDefault="00ED0A96" w:rsidP="00D921BD">
            <w:pPr>
              <w:jc w:val="right"/>
              <w:rPr>
                <w:rFonts w:ascii="Arial" w:hAnsi="Arial" w:cs="Arial"/>
                <w:iCs/>
                <w:sz w:val="22"/>
                <w:szCs w:val="22"/>
              </w:rPr>
            </w:pPr>
            <w:r w:rsidRPr="00495094">
              <w:rPr>
                <w:rFonts w:ascii="Arial" w:hAnsi="Arial" w:cs="Arial"/>
                <w:iCs/>
                <w:sz w:val="22"/>
                <w:szCs w:val="22"/>
              </w:rPr>
              <w:t>24,027,778</w:t>
            </w:r>
          </w:p>
        </w:tc>
      </w:tr>
      <w:tr w:rsidR="00495094" w:rsidRPr="00495094" w14:paraId="5F6CB6EB" w14:textId="77777777" w:rsidTr="007A10F3">
        <w:trPr>
          <w:trHeight w:val="265"/>
        </w:trPr>
        <w:tc>
          <w:tcPr>
            <w:tcW w:w="5421" w:type="dxa"/>
            <w:tcBorders>
              <w:top w:val="single" w:sz="4" w:space="0" w:color="auto"/>
              <w:left w:val="nil"/>
              <w:bottom w:val="double" w:sz="4" w:space="0" w:color="auto"/>
              <w:right w:val="nil"/>
            </w:tcBorders>
            <w:shd w:val="clear" w:color="auto" w:fill="auto"/>
            <w:noWrap/>
            <w:vAlign w:val="bottom"/>
          </w:tcPr>
          <w:p w14:paraId="07D6A4F8" w14:textId="77777777" w:rsidR="004520DB" w:rsidRPr="00495094" w:rsidRDefault="004520DB" w:rsidP="004520DB">
            <w:pPr>
              <w:ind w:left="-108"/>
              <w:jc w:val="left"/>
              <w:rPr>
                <w:rFonts w:ascii="Arial" w:hAnsi="Arial" w:cs="Arial"/>
                <w:iCs/>
                <w:sz w:val="22"/>
                <w:szCs w:val="22"/>
              </w:rPr>
            </w:pPr>
          </w:p>
        </w:tc>
        <w:tc>
          <w:tcPr>
            <w:tcW w:w="813" w:type="dxa"/>
            <w:tcBorders>
              <w:top w:val="single" w:sz="4" w:space="0" w:color="auto"/>
              <w:left w:val="nil"/>
              <w:bottom w:val="double" w:sz="4" w:space="0" w:color="auto"/>
              <w:right w:val="nil"/>
            </w:tcBorders>
            <w:shd w:val="clear" w:color="auto" w:fill="auto"/>
            <w:vAlign w:val="center"/>
          </w:tcPr>
          <w:p w14:paraId="50836235" w14:textId="77777777" w:rsidR="004520DB" w:rsidRPr="00495094" w:rsidRDefault="004520DB" w:rsidP="004520DB">
            <w:pPr>
              <w:jc w:val="right"/>
              <w:rPr>
                <w:rFonts w:ascii="Arial" w:hAnsi="Arial" w:cs="Arial"/>
                <w:iCs/>
                <w:sz w:val="22"/>
                <w:szCs w:val="22"/>
              </w:rPr>
            </w:pPr>
          </w:p>
        </w:tc>
        <w:tc>
          <w:tcPr>
            <w:tcW w:w="1995" w:type="dxa"/>
            <w:tcBorders>
              <w:top w:val="single" w:sz="4" w:space="0" w:color="auto"/>
              <w:left w:val="nil"/>
              <w:bottom w:val="double" w:sz="4" w:space="0" w:color="auto"/>
              <w:right w:val="nil"/>
            </w:tcBorders>
            <w:shd w:val="clear" w:color="auto" w:fill="auto"/>
            <w:noWrap/>
            <w:vAlign w:val="bottom"/>
          </w:tcPr>
          <w:p w14:paraId="5B5B7A39" w14:textId="06078499" w:rsidR="004520DB" w:rsidRPr="00495094" w:rsidRDefault="00465E97" w:rsidP="00465E97">
            <w:pPr>
              <w:jc w:val="right"/>
              <w:rPr>
                <w:rFonts w:ascii="Arial" w:hAnsi="Arial" w:cs="Arial"/>
                <w:iCs/>
                <w:sz w:val="22"/>
                <w:szCs w:val="22"/>
              </w:rPr>
            </w:pPr>
            <w:r w:rsidRPr="00495094">
              <w:rPr>
                <w:rFonts w:ascii="Arial" w:hAnsi="Arial" w:cs="Arial"/>
                <w:iCs/>
                <w:sz w:val="22"/>
                <w:szCs w:val="22"/>
              </w:rPr>
              <w:t>1</w:t>
            </w:r>
            <w:r w:rsidR="00ED0A96" w:rsidRPr="00495094">
              <w:rPr>
                <w:rFonts w:ascii="Arial" w:hAnsi="Arial" w:cs="Arial"/>
                <w:iCs/>
                <w:sz w:val="22"/>
                <w:szCs w:val="22"/>
              </w:rPr>
              <w:t>0</w:t>
            </w:r>
            <w:r w:rsidRPr="00495094">
              <w:rPr>
                <w:rFonts w:ascii="Arial" w:hAnsi="Arial" w:cs="Arial"/>
                <w:iCs/>
                <w:sz w:val="22"/>
                <w:szCs w:val="22"/>
              </w:rPr>
              <w:t>3</w:t>
            </w:r>
            <w:r w:rsidR="00ED0A96" w:rsidRPr="00495094">
              <w:rPr>
                <w:rFonts w:ascii="Arial" w:hAnsi="Arial" w:cs="Arial"/>
                <w:iCs/>
                <w:sz w:val="22"/>
                <w:szCs w:val="22"/>
              </w:rPr>
              <w:t>,</w:t>
            </w:r>
            <w:r w:rsidRPr="00495094">
              <w:rPr>
                <w:rFonts w:ascii="Arial" w:hAnsi="Arial" w:cs="Arial"/>
                <w:iCs/>
                <w:sz w:val="22"/>
                <w:szCs w:val="22"/>
              </w:rPr>
              <w:t>96</w:t>
            </w:r>
            <w:r w:rsidR="00D564DD" w:rsidRPr="00495094">
              <w:rPr>
                <w:rFonts w:ascii="Arial" w:hAnsi="Arial" w:cs="Arial"/>
                <w:iCs/>
                <w:sz w:val="22"/>
                <w:szCs w:val="22"/>
              </w:rPr>
              <w:t>0</w:t>
            </w:r>
            <w:r w:rsidR="00ED0A96" w:rsidRPr="00495094">
              <w:rPr>
                <w:rFonts w:ascii="Arial" w:hAnsi="Arial" w:cs="Arial"/>
                <w:iCs/>
                <w:sz w:val="22"/>
                <w:szCs w:val="22"/>
              </w:rPr>
              <w:t>,0</w:t>
            </w:r>
            <w:r w:rsidRPr="00495094">
              <w:rPr>
                <w:rFonts w:ascii="Arial" w:hAnsi="Arial" w:cs="Arial"/>
                <w:iCs/>
                <w:sz w:val="22"/>
                <w:szCs w:val="22"/>
              </w:rPr>
              <w:t>87</w:t>
            </w:r>
          </w:p>
        </w:tc>
      </w:tr>
    </w:tbl>
    <w:p w14:paraId="7ED75309" w14:textId="25997935" w:rsidR="0036040E" w:rsidRPr="00495094" w:rsidRDefault="0036040E" w:rsidP="003315ED">
      <w:pPr>
        <w:spacing w:line="259" w:lineRule="auto"/>
        <w:jc w:val="left"/>
        <w:rPr>
          <w:rFonts w:ascii="Arial" w:eastAsia="Calibri" w:hAnsi="Arial" w:cs="Arial"/>
          <w:b/>
          <w:sz w:val="22"/>
          <w:szCs w:val="22"/>
          <w:lang w:val="en-PH"/>
        </w:rPr>
      </w:pPr>
    </w:p>
    <w:p w14:paraId="0BCBAE90" w14:textId="77777777" w:rsidR="0036040E" w:rsidRPr="00495094" w:rsidRDefault="0036040E" w:rsidP="003C5E3D">
      <w:pPr>
        <w:spacing w:line="259" w:lineRule="auto"/>
        <w:ind w:left="720"/>
        <w:jc w:val="left"/>
        <w:rPr>
          <w:rFonts w:ascii="Arial" w:eastAsia="Calibri" w:hAnsi="Arial" w:cs="Arial"/>
          <w:b/>
          <w:sz w:val="22"/>
          <w:szCs w:val="22"/>
          <w:lang w:val="en-PH"/>
        </w:rPr>
      </w:pPr>
    </w:p>
    <w:p w14:paraId="312CA0A7" w14:textId="77777777" w:rsidR="000416CC" w:rsidRPr="00495094" w:rsidRDefault="000416CC" w:rsidP="007F4EEC">
      <w:pPr>
        <w:numPr>
          <w:ilvl w:val="0"/>
          <w:numId w:val="12"/>
        </w:numPr>
        <w:spacing w:line="259" w:lineRule="auto"/>
        <w:ind w:left="720"/>
        <w:jc w:val="left"/>
        <w:rPr>
          <w:rFonts w:ascii="Arial" w:eastAsia="Calibri" w:hAnsi="Arial" w:cs="Arial"/>
          <w:b/>
          <w:sz w:val="22"/>
          <w:szCs w:val="22"/>
          <w:lang w:val="en-PH"/>
        </w:rPr>
      </w:pPr>
      <w:r w:rsidRPr="00495094">
        <w:rPr>
          <w:rFonts w:ascii="Arial" w:eastAsia="Calibri" w:hAnsi="Arial" w:cs="Arial"/>
          <w:b/>
          <w:sz w:val="22"/>
          <w:szCs w:val="22"/>
          <w:lang w:val="en-PH"/>
        </w:rPr>
        <w:t>Employee Benefits</w:t>
      </w:r>
    </w:p>
    <w:p w14:paraId="777C8CC5" w14:textId="77777777" w:rsidR="0036040E" w:rsidRPr="00495094" w:rsidRDefault="0036040E" w:rsidP="000416CC">
      <w:pPr>
        <w:pStyle w:val="NoSpacing"/>
        <w:rPr>
          <w:rFonts w:ascii="Arial" w:hAnsi="Arial" w:cs="Arial"/>
          <w:i/>
        </w:rPr>
      </w:pPr>
    </w:p>
    <w:p w14:paraId="72263B02" w14:textId="6B909F65" w:rsidR="000416CC" w:rsidRPr="00495094" w:rsidRDefault="00FE50D1" w:rsidP="000416CC">
      <w:pPr>
        <w:pStyle w:val="NoSpacing"/>
        <w:rPr>
          <w:rFonts w:ascii="Arial" w:hAnsi="Arial" w:cs="Arial"/>
          <w:i/>
        </w:rPr>
      </w:pPr>
      <w:r w:rsidRPr="00495094">
        <w:rPr>
          <w:rFonts w:ascii="Arial" w:hAnsi="Arial" w:cs="Arial"/>
          <w:i/>
        </w:rPr>
        <w:t>Sick Leave Credits</w:t>
      </w:r>
    </w:p>
    <w:p w14:paraId="3FB2C332" w14:textId="77777777" w:rsidR="000416CC" w:rsidRPr="00495094" w:rsidRDefault="000416CC" w:rsidP="000416CC">
      <w:pPr>
        <w:pStyle w:val="NoSpacing"/>
        <w:rPr>
          <w:rFonts w:ascii="Arial" w:hAnsi="Arial" w:cs="Arial"/>
        </w:rPr>
      </w:pPr>
    </w:p>
    <w:p w14:paraId="47F73E97" w14:textId="0D84B328" w:rsidR="000416CC" w:rsidRPr="00495094" w:rsidRDefault="00FE50D1" w:rsidP="00AF0ED0">
      <w:pPr>
        <w:pStyle w:val="NoSpacing"/>
        <w:rPr>
          <w:rFonts w:ascii="Arial" w:hAnsi="Arial" w:cs="Arial"/>
        </w:rPr>
      </w:pPr>
      <w:r w:rsidRPr="00495094">
        <w:rPr>
          <w:rFonts w:ascii="Arial" w:hAnsi="Arial" w:cs="Arial"/>
        </w:rPr>
        <w:t xml:space="preserve">Per existing policy, </w:t>
      </w:r>
      <w:r w:rsidR="000416CC" w:rsidRPr="00495094">
        <w:rPr>
          <w:rFonts w:ascii="Arial" w:hAnsi="Arial" w:cs="Arial"/>
        </w:rPr>
        <w:t xml:space="preserve">the cash value of the accumulated sick leave credits of the employees </w:t>
      </w:r>
      <w:r w:rsidRPr="00495094">
        <w:rPr>
          <w:rFonts w:ascii="Arial" w:hAnsi="Arial" w:cs="Arial"/>
        </w:rPr>
        <w:t>can be</w:t>
      </w:r>
      <w:r w:rsidR="000416CC" w:rsidRPr="00495094">
        <w:rPr>
          <w:rFonts w:ascii="Arial" w:hAnsi="Arial" w:cs="Arial"/>
        </w:rPr>
        <w:t xml:space="preserve"> monetize</w:t>
      </w:r>
      <w:r w:rsidRPr="00495094">
        <w:rPr>
          <w:rFonts w:ascii="Arial" w:hAnsi="Arial" w:cs="Arial"/>
        </w:rPr>
        <w:t>d</w:t>
      </w:r>
      <w:r w:rsidR="000416CC" w:rsidRPr="00495094">
        <w:rPr>
          <w:rFonts w:ascii="Arial" w:hAnsi="Arial" w:cs="Arial"/>
        </w:rPr>
        <w:t xml:space="preserve"> a</w:t>
      </w:r>
      <w:r w:rsidRPr="00495094">
        <w:rPr>
          <w:rFonts w:ascii="Arial" w:hAnsi="Arial" w:cs="Arial"/>
        </w:rPr>
        <w:t>t a</w:t>
      </w:r>
      <w:r w:rsidR="000416CC" w:rsidRPr="00495094">
        <w:rPr>
          <w:rFonts w:ascii="Arial" w:hAnsi="Arial" w:cs="Arial"/>
        </w:rPr>
        <w:t xml:space="preserve"> maximum of 15 days in excess of 90 days accumulated sick leave credits within the year.</w:t>
      </w:r>
    </w:p>
    <w:p w14:paraId="11B26837" w14:textId="77777777" w:rsidR="00993A97" w:rsidRPr="00495094" w:rsidRDefault="00993A97" w:rsidP="000416CC">
      <w:pPr>
        <w:pStyle w:val="NoSpacing"/>
        <w:rPr>
          <w:rFonts w:ascii="Arial" w:hAnsi="Arial" w:cs="Arial"/>
        </w:rPr>
      </w:pPr>
    </w:p>
    <w:p w14:paraId="4CC981DE" w14:textId="77777777" w:rsidR="00042335" w:rsidRPr="00495094" w:rsidRDefault="00042335" w:rsidP="00042335">
      <w:pPr>
        <w:pStyle w:val="NoSpacing"/>
        <w:rPr>
          <w:rFonts w:ascii="Arial" w:hAnsi="Arial" w:cs="Arial"/>
          <w:i/>
          <w:iCs/>
        </w:rPr>
      </w:pPr>
      <w:r w:rsidRPr="00495094">
        <w:rPr>
          <w:rFonts w:ascii="Arial" w:hAnsi="Arial" w:cs="Arial"/>
          <w:i/>
          <w:iCs/>
        </w:rPr>
        <w:t xml:space="preserve">Employees Benefits, Plan Amendment, Curtailment or Settlement </w:t>
      </w:r>
    </w:p>
    <w:p w14:paraId="698812A3" w14:textId="77777777" w:rsidR="00042335" w:rsidRPr="00495094" w:rsidRDefault="00042335" w:rsidP="00042335">
      <w:pPr>
        <w:pStyle w:val="NormalWeb"/>
        <w:spacing w:before="0" w:beforeAutospacing="0" w:after="0" w:afterAutospacing="0"/>
        <w:rPr>
          <w:rFonts w:ascii="Arial" w:hAnsi="Arial" w:cs="Arial"/>
          <w:sz w:val="22"/>
          <w:szCs w:val="22"/>
        </w:rPr>
      </w:pPr>
    </w:p>
    <w:p w14:paraId="1F5F0BF8" w14:textId="53E1DCEA" w:rsidR="00042335" w:rsidRPr="00495094" w:rsidRDefault="00ED0A96" w:rsidP="006C6BD0">
      <w:pPr>
        <w:pStyle w:val="NoSpacing"/>
        <w:rPr>
          <w:rFonts w:ascii="Arial" w:hAnsi="Arial" w:cs="Arial"/>
        </w:rPr>
      </w:pPr>
      <w:r w:rsidRPr="00495094">
        <w:rPr>
          <w:rFonts w:ascii="Arial" w:hAnsi="Arial" w:cs="Arial"/>
        </w:rPr>
        <w:t>As of December 31, 2022</w:t>
      </w:r>
      <w:r w:rsidR="00E71106" w:rsidRPr="00495094">
        <w:rPr>
          <w:rFonts w:ascii="Arial" w:hAnsi="Arial" w:cs="Arial"/>
        </w:rPr>
        <w:t xml:space="preserve">, the Bank outstanding accrual for retired employees pursuant to </w:t>
      </w:r>
      <w:r w:rsidR="00223411" w:rsidRPr="00495094">
        <w:rPr>
          <w:rFonts w:ascii="Arial" w:hAnsi="Arial" w:cs="Arial"/>
        </w:rPr>
        <w:t>EO No. 44 series of 2017 is P</w:t>
      </w:r>
      <w:r w:rsidR="00E71106" w:rsidRPr="00495094">
        <w:rPr>
          <w:rFonts w:ascii="Arial" w:hAnsi="Arial" w:cs="Arial"/>
        </w:rPr>
        <w:t>1.</w:t>
      </w:r>
      <w:r w:rsidRPr="00495094">
        <w:rPr>
          <w:rFonts w:ascii="Arial" w:hAnsi="Arial" w:cs="Arial"/>
        </w:rPr>
        <w:t>16</w:t>
      </w:r>
      <w:r w:rsidR="00E71106" w:rsidRPr="00495094">
        <w:rPr>
          <w:rFonts w:ascii="Arial" w:hAnsi="Arial" w:cs="Arial"/>
        </w:rPr>
        <w:t xml:space="preserve"> million.  </w:t>
      </w:r>
      <w:r w:rsidR="006C6BD0" w:rsidRPr="00495094">
        <w:rPr>
          <w:rFonts w:ascii="Arial" w:hAnsi="Arial" w:cs="Arial"/>
        </w:rPr>
        <w:t xml:space="preserve">   </w:t>
      </w:r>
    </w:p>
    <w:p w14:paraId="1C5AE3FD" w14:textId="77777777" w:rsidR="00042335" w:rsidRPr="00495094" w:rsidRDefault="00042335" w:rsidP="000416CC">
      <w:pPr>
        <w:pStyle w:val="NoSpacing"/>
        <w:rPr>
          <w:rFonts w:ascii="Arial" w:hAnsi="Arial" w:cs="Arial"/>
        </w:rPr>
      </w:pPr>
    </w:p>
    <w:p w14:paraId="09681629" w14:textId="77777777" w:rsidR="006C6BD0" w:rsidRPr="00495094" w:rsidRDefault="006C6BD0" w:rsidP="000416CC">
      <w:pPr>
        <w:pStyle w:val="NoSpacing"/>
        <w:rPr>
          <w:rFonts w:ascii="Arial" w:hAnsi="Arial" w:cs="Arial"/>
        </w:rPr>
      </w:pPr>
    </w:p>
    <w:p w14:paraId="528E18DF" w14:textId="77777777" w:rsidR="000416CC" w:rsidRPr="00495094" w:rsidRDefault="000416CC" w:rsidP="007F4EEC">
      <w:pPr>
        <w:numPr>
          <w:ilvl w:val="0"/>
          <w:numId w:val="12"/>
        </w:numPr>
        <w:ind w:left="720"/>
        <w:rPr>
          <w:rFonts w:ascii="Arial" w:hAnsi="Arial" w:cs="Arial"/>
          <w:b/>
          <w:bCs/>
          <w:sz w:val="22"/>
          <w:szCs w:val="22"/>
        </w:rPr>
      </w:pPr>
      <w:r w:rsidRPr="00495094">
        <w:rPr>
          <w:rFonts w:ascii="Arial" w:hAnsi="Arial" w:cs="Arial"/>
          <w:b/>
          <w:bCs/>
          <w:sz w:val="22"/>
          <w:szCs w:val="22"/>
        </w:rPr>
        <w:t>Commitments and Contingent Liabilities</w:t>
      </w:r>
    </w:p>
    <w:p w14:paraId="305CF223" w14:textId="77777777" w:rsidR="000416CC" w:rsidRPr="00495094" w:rsidRDefault="000416CC" w:rsidP="000416CC">
      <w:pPr>
        <w:rPr>
          <w:rFonts w:ascii="Arial" w:hAnsi="Arial" w:cs="Arial"/>
          <w:b/>
          <w:bCs/>
          <w:sz w:val="22"/>
          <w:szCs w:val="22"/>
          <w:u w:val="single"/>
        </w:rPr>
      </w:pPr>
    </w:p>
    <w:p w14:paraId="78C1FB5C" w14:textId="74FE8216" w:rsidR="000416CC" w:rsidRPr="00495094" w:rsidRDefault="000416CC" w:rsidP="000416CC">
      <w:pPr>
        <w:rPr>
          <w:rFonts w:ascii="Arial" w:hAnsi="Arial" w:cs="Arial"/>
          <w:b/>
          <w:bCs/>
          <w:sz w:val="22"/>
          <w:szCs w:val="22"/>
          <w:u w:val="single"/>
        </w:rPr>
      </w:pPr>
      <w:r w:rsidRPr="00495094">
        <w:rPr>
          <w:rFonts w:ascii="Arial" w:hAnsi="Arial" w:cs="Arial"/>
          <w:bCs/>
          <w:sz w:val="22"/>
          <w:szCs w:val="22"/>
        </w:rPr>
        <w:t>The</w:t>
      </w:r>
      <w:r w:rsidRPr="00495094">
        <w:rPr>
          <w:rFonts w:ascii="Arial" w:hAnsi="Arial" w:cs="Arial"/>
          <w:b/>
          <w:bCs/>
          <w:sz w:val="22"/>
          <w:szCs w:val="22"/>
        </w:rPr>
        <w:t xml:space="preserve"> </w:t>
      </w:r>
      <w:r w:rsidR="00AF0ED0" w:rsidRPr="00495094">
        <w:rPr>
          <w:rFonts w:ascii="Arial" w:hAnsi="Arial" w:cs="Arial"/>
          <w:sz w:val="22"/>
          <w:szCs w:val="22"/>
        </w:rPr>
        <w:t>B</w:t>
      </w:r>
      <w:r w:rsidRPr="00495094">
        <w:rPr>
          <w:rFonts w:ascii="Arial" w:hAnsi="Arial" w:cs="Arial"/>
          <w:sz w:val="22"/>
          <w:szCs w:val="22"/>
        </w:rPr>
        <w:t>ank is contingently liable for lawsuits or claims filed by third parties, which are either pending decision by the courts or under negotiations, the outcomes of which are not determinable at balance sheet date.</w:t>
      </w:r>
    </w:p>
    <w:p w14:paraId="44D4DFAC" w14:textId="77777777" w:rsidR="000416CC" w:rsidRPr="00495094" w:rsidRDefault="000416CC" w:rsidP="000416CC">
      <w:pPr>
        <w:ind w:left="720"/>
        <w:rPr>
          <w:rFonts w:ascii="Arial" w:hAnsi="Arial" w:cs="Arial"/>
          <w:b/>
          <w:bCs/>
          <w:sz w:val="22"/>
          <w:szCs w:val="22"/>
        </w:rPr>
      </w:pPr>
    </w:p>
    <w:p w14:paraId="61D1BE57" w14:textId="77777777" w:rsidR="00F63E9A" w:rsidRPr="00495094" w:rsidRDefault="00F63E9A" w:rsidP="000416CC">
      <w:pPr>
        <w:ind w:left="720"/>
        <w:rPr>
          <w:rFonts w:ascii="Arial" w:hAnsi="Arial" w:cs="Arial"/>
          <w:b/>
          <w:bCs/>
          <w:sz w:val="22"/>
          <w:szCs w:val="22"/>
        </w:rPr>
      </w:pPr>
    </w:p>
    <w:p w14:paraId="4A67E4A6" w14:textId="77777777" w:rsidR="000416CC" w:rsidRPr="00495094" w:rsidRDefault="000416CC" w:rsidP="007F4EEC">
      <w:pPr>
        <w:numPr>
          <w:ilvl w:val="0"/>
          <w:numId w:val="12"/>
        </w:numPr>
        <w:ind w:left="720"/>
        <w:rPr>
          <w:rFonts w:ascii="Arial" w:hAnsi="Arial" w:cs="Arial"/>
          <w:b/>
          <w:bCs/>
          <w:sz w:val="22"/>
          <w:szCs w:val="22"/>
        </w:rPr>
      </w:pPr>
      <w:r w:rsidRPr="00495094">
        <w:rPr>
          <w:rFonts w:ascii="Arial" w:hAnsi="Arial" w:cs="Arial"/>
          <w:b/>
          <w:bCs/>
          <w:sz w:val="22"/>
          <w:szCs w:val="22"/>
        </w:rPr>
        <w:t>Basic Quantitative Indicators of Financial Performance</w:t>
      </w:r>
    </w:p>
    <w:p w14:paraId="0EBB96FD" w14:textId="77777777" w:rsidR="000416CC" w:rsidRPr="00495094" w:rsidRDefault="000416CC" w:rsidP="000416CC">
      <w:pPr>
        <w:jc w:val="left"/>
        <w:rPr>
          <w:rFonts w:ascii="Arial" w:hAnsi="Arial" w:cs="Arial"/>
          <w:b/>
          <w:bCs/>
          <w:sz w:val="22"/>
          <w:szCs w:val="22"/>
          <w:u w:val="single"/>
        </w:rPr>
      </w:pPr>
    </w:p>
    <w:tbl>
      <w:tblPr>
        <w:tblW w:w="8640" w:type="dxa"/>
        <w:tblInd w:w="108" w:type="dxa"/>
        <w:tblLayout w:type="fixed"/>
        <w:tblLook w:val="04A0" w:firstRow="1" w:lastRow="0" w:firstColumn="1" w:lastColumn="0" w:noHBand="0" w:noVBand="1"/>
      </w:tblPr>
      <w:tblGrid>
        <w:gridCol w:w="4482"/>
        <w:gridCol w:w="1890"/>
        <w:gridCol w:w="2268"/>
      </w:tblGrid>
      <w:tr w:rsidR="00495094" w:rsidRPr="00495094" w14:paraId="7AE78398" w14:textId="77777777" w:rsidTr="0091624F">
        <w:trPr>
          <w:trHeight w:val="315"/>
          <w:tblHeader/>
        </w:trPr>
        <w:tc>
          <w:tcPr>
            <w:tcW w:w="4482" w:type="dxa"/>
            <w:tcBorders>
              <w:top w:val="single" w:sz="8" w:space="0" w:color="auto"/>
              <w:left w:val="nil"/>
              <w:bottom w:val="single" w:sz="8" w:space="0" w:color="auto"/>
              <w:right w:val="nil"/>
            </w:tcBorders>
            <w:shd w:val="clear" w:color="auto" w:fill="auto"/>
            <w:vAlign w:val="center"/>
            <w:hideMark/>
          </w:tcPr>
          <w:p w14:paraId="4D9C23DA" w14:textId="77777777" w:rsidR="000416CC" w:rsidRPr="00495094" w:rsidRDefault="000416CC" w:rsidP="00FE50D1">
            <w:pPr>
              <w:rPr>
                <w:rFonts w:ascii="Arial" w:hAnsi="Arial" w:cs="Arial"/>
                <w:sz w:val="22"/>
                <w:szCs w:val="22"/>
                <w:lang w:val="en-PH" w:eastAsia="en-PH"/>
              </w:rPr>
            </w:pPr>
            <w:r w:rsidRPr="00495094">
              <w:rPr>
                <w:rFonts w:ascii="Arial" w:hAnsi="Arial" w:cs="Arial"/>
                <w:sz w:val="22"/>
                <w:szCs w:val="22"/>
                <w:lang w:eastAsia="en-PH"/>
              </w:rPr>
              <w:t> </w:t>
            </w:r>
          </w:p>
        </w:tc>
        <w:tc>
          <w:tcPr>
            <w:tcW w:w="1890" w:type="dxa"/>
            <w:tcBorders>
              <w:top w:val="single" w:sz="8" w:space="0" w:color="auto"/>
              <w:left w:val="nil"/>
              <w:bottom w:val="single" w:sz="8" w:space="0" w:color="auto"/>
              <w:right w:val="nil"/>
            </w:tcBorders>
            <w:shd w:val="clear" w:color="auto" w:fill="auto"/>
            <w:hideMark/>
          </w:tcPr>
          <w:p w14:paraId="7A184805" w14:textId="0CEA57B0" w:rsidR="000416CC" w:rsidRPr="00495094" w:rsidRDefault="000416CC">
            <w:pPr>
              <w:jc w:val="center"/>
              <w:rPr>
                <w:rFonts w:ascii="Arial" w:hAnsi="Arial" w:cs="Arial"/>
                <w:b/>
                <w:bCs/>
                <w:sz w:val="22"/>
                <w:szCs w:val="22"/>
                <w:lang w:val="en-PH" w:eastAsia="en-PH"/>
              </w:rPr>
            </w:pPr>
            <w:r w:rsidRPr="00495094">
              <w:rPr>
                <w:rFonts w:ascii="Arial" w:hAnsi="Arial" w:cs="Arial"/>
                <w:b/>
                <w:bCs/>
                <w:sz w:val="22"/>
                <w:szCs w:val="22"/>
                <w:lang w:eastAsia="en-PH"/>
              </w:rPr>
              <w:t>20</w:t>
            </w:r>
            <w:r w:rsidR="00ED0A96" w:rsidRPr="00495094">
              <w:rPr>
                <w:rFonts w:ascii="Arial" w:hAnsi="Arial" w:cs="Arial"/>
                <w:b/>
                <w:bCs/>
                <w:sz w:val="22"/>
                <w:szCs w:val="22"/>
                <w:lang w:eastAsia="en-PH"/>
              </w:rPr>
              <w:t>22</w:t>
            </w:r>
          </w:p>
        </w:tc>
        <w:tc>
          <w:tcPr>
            <w:tcW w:w="2268" w:type="dxa"/>
            <w:tcBorders>
              <w:top w:val="single" w:sz="8" w:space="0" w:color="auto"/>
              <w:left w:val="nil"/>
              <w:bottom w:val="single" w:sz="8" w:space="0" w:color="auto"/>
              <w:right w:val="nil"/>
            </w:tcBorders>
            <w:shd w:val="clear" w:color="auto" w:fill="auto"/>
            <w:vAlign w:val="center"/>
            <w:hideMark/>
          </w:tcPr>
          <w:p w14:paraId="21BAC9AF" w14:textId="77777777" w:rsidR="004030D4" w:rsidRPr="00495094" w:rsidRDefault="00ED0A96" w:rsidP="00C031A2">
            <w:pPr>
              <w:jc w:val="center"/>
              <w:rPr>
                <w:rFonts w:ascii="Arial" w:hAnsi="Arial" w:cs="Arial"/>
                <w:b/>
                <w:bCs/>
                <w:sz w:val="22"/>
                <w:szCs w:val="22"/>
                <w:lang w:eastAsia="en-PH"/>
              </w:rPr>
            </w:pPr>
            <w:r w:rsidRPr="00495094">
              <w:rPr>
                <w:rFonts w:ascii="Arial" w:hAnsi="Arial" w:cs="Arial"/>
                <w:b/>
                <w:bCs/>
                <w:sz w:val="22"/>
                <w:szCs w:val="22"/>
                <w:lang w:eastAsia="en-PH"/>
              </w:rPr>
              <w:t>2021</w:t>
            </w:r>
          </w:p>
          <w:p w14:paraId="108FE241" w14:textId="15D80276" w:rsidR="006C6BD0" w:rsidRPr="00495094" w:rsidRDefault="00FB60E6" w:rsidP="00C031A2">
            <w:pPr>
              <w:jc w:val="center"/>
              <w:rPr>
                <w:rFonts w:ascii="Arial" w:hAnsi="Arial" w:cs="Arial"/>
                <w:b/>
                <w:bCs/>
                <w:sz w:val="22"/>
                <w:szCs w:val="22"/>
                <w:lang w:eastAsia="en-PH"/>
              </w:rPr>
            </w:pPr>
            <w:r w:rsidRPr="00495094">
              <w:rPr>
                <w:rFonts w:ascii="Arial" w:hAnsi="Arial" w:cs="Arial"/>
                <w:b/>
                <w:bCs/>
                <w:sz w:val="22"/>
                <w:szCs w:val="22"/>
                <w:lang w:eastAsia="en-PH"/>
              </w:rPr>
              <w:t xml:space="preserve"> As restated</w:t>
            </w:r>
          </w:p>
        </w:tc>
      </w:tr>
      <w:tr w:rsidR="00495094" w:rsidRPr="00495094" w14:paraId="7C6BD081" w14:textId="77777777" w:rsidTr="0091624F">
        <w:trPr>
          <w:trHeight w:val="232"/>
        </w:trPr>
        <w:tc>
          <w:tcPr>
            <w:tcW w:w="4482" w:type="dxa"/>
            <w:tcBorders>
              <w:top w:val="nil"/>
              <w:left w:val="nil"/>
              <w:bottom w:val="nil"/>
              <w:right w:val="nil"/>
            </w:tcBorders>
            <w:shd w:val="clear" w:color="auto" w:fill="auto"/>
            <w:vAlign w:val="center"/>
            <w:hideMark/>
          </w:tcPr>
          <w:p w14:paraId="1EB04FF6" w14:textId="77777777" w:rsidR="000416CC" w:rsidRPr="00495094" w:rsidRDefault="000416CC" w:rsidP="00FE50D1">
            <w:pPr>
              <w:jc w:val="center"/>
              <w:rPr>
                <w:rFonts w:ascii="Arial" w:hAnsi="Arial" w:cs="Arial"/>
                <w:b/>
                <w:bCs/>
                <w:sz w:val="22"/>
                <w:szCs w:val="22"/>
                <w:lang w:val="en-PH" w:eastAsia="en-PH"/>
              </w:rPr>
            </w:pPr>
          </w:p>
        </w:tc>
        <w:tc>
          <w:tcPr>
            <w:tcW w:w="1890" w:type="dxa"/>
            <w:tcBorders>
              <w:top w:val="nil"/>
              <w:left w:val="nil"/>
              <w:bottom w:val="nil"/>
              <w:right w:val="nil"/>
            </w:tcBorders>
            <w:shd w:val="clear" w:color="auto" w:fill="auto"/>
            <w:noWrap/>
            <w:vAlign w:val="center"/>
            <w:hideMark/>
          </w:tcPr>
          <w:p w14:paraId="6CF86003" w14:textId="77777777" w:rsidR="000416CC" w:rsidRPr="00495094" w:rsidRDefault="000416CC" w:rsidP="00FE50D1">
            <w:pPr>
              <w:jc w:val="left"/>
              <w:rPr>
                <w:rFonts w:ascii="Arial" w:hAnsi="Arial" w:cs="Arial"/>
                <w:sz w:val="22"/>
                <w:szCs w:val="22"/>
                <w:lang w:val="en-PH" w:eastAsia="en-PH"/>
              </w:rPr>
            </w:pPr>
            <w:r w:rsidRPr="00495094">
              <w:rPr>
                <w:rFonts w:ascii="Arial" w:hAnsi="Arial" w:cs="Arial"/>
                <w:sz w:val="22"/>
                <w:szCs w:val="22"/>
                <w:lang w:val="en-PH" w:eastAsia="en-PH"/>
              </w:rPr>
              <w:t xml:space="preserve"> (In percentage)</w:t>
            </w:r>
          </w:p>
        </w:tc>
        <w:tc>
          <w:tcPr>
            <w:tcW w:w="2268" w:type="dxa"/>
            <w:tcBorders>
              <w:top w:val="nil"/>
              <w:left w:val="nil"/>
              <w:bottom w:val="nil"/>
              <w:right w:val="nil"/>
            </w:tcBorders>
            <w:shd w:val="clear" w:color="auto" w:fill="auto"/>
            <w:noWrap/>
            <w:vAlign w:val="center"/>
            <w:hideMark/>
          </w:tcPr>
          <w:p w14:paraId="0F885684" w14:textId="77777777" w:rsidR="000416CC" w:rsidRPr="00495094" w:rsidRDefault="000416CC" w:rsidP="00FE50D1">
            <w:pPr>
              <w:jc w:val="left"/>
              <w:rPr>
                <w:rFonts w:ascii="Arial" w:hAnsi="Arial" w:cs="Arial"/>
                <w:sz w:val="22"/>
                <w:szCs w:val="22"/>
                <w:lang w:val="en-PH" w:eastAsia="en-PH"/>
              </w:rPr>
            </w:pPr>
            <w:r w:rsidRPr="00495094">
              <w:rPr>
                <w:rFonts w:ascii="Arial" w:hAnsi="Arial" w:cs="Arial"/>
                <w:sz w:val="22"/>
                <w:szCs w:val="22"/>
                <w:lang w:val="en-PH" w:eastAsia="en-PH"/>
              </w:rPr>
              <w:t>(In percentage)</w:t>
            </w:r>
          </w:p>
        </w:tc>
      </w:tr>
      <w:tr w:rsidR="00495094" w:rsidRPr="00495094" w14:paraId="16B1E4F0" w14:textId="77777777" w:rsidTr="003315ED">
        <w:trPr>
          <w:trHeight w:val="300"/>
        </w:trPr>
        <w:tc>
          <w:tcPr>
            <w:tcW w:w="4482" w:type="dxa"/>
            <w:tcBorders>
              <w:top w:val="nil"/>
              <w:left w:val="nil"/>
              <w:bottom w:val="nil"/>
              <w:right w:val="nil"/>
            </w:tcBorders>
            <w:shd w:val="clear" w:color="auto" w:fill="auto"/>
            <w:vAlign w:val="center"/>
            <w:hideMark/>
          </w:tcPr>
          <w:p w14:paraId="4F2ADACD" w14:textId="77777777" w:rsidR="00A30102" w:rsidRPr="00495094" w:rsidRDefault="00A30102" w:rsidP="00A30102">
            <w:pPr>
              <w:ind w:left="-108"/>
              <w:rPr>
                <w:rFonts w:ascii="Arial" w:hAnsi="Arial" w:cs="Arial"/>
                <w:sz w:val="22"/>
                <w:szCs w:val="22"/>
                <w:lang w:val="en-PH" w:eastAsia="en-PH"/>
              </w:rPr>
            </w:pPr>
            <w:r w:rsidRPr="00495094">
              <w:rPr>
                <w:rFonts w:ascii="Arial" w:hAnsi="Arial" w:cs="Arial"/>
                <w:sz w:val="22"/>
                <w:szCs w:val="22"/>
                <w:lang w:eastAsia="en-PH"/>
              </w:rPr>
              <w:t>Return on average equity</w:t>
            </w:r>
          </w:p>
        </w:tc>
        <w:tc>
          <w:tcPr>
            <w:tcW w:w="1890" w:type="dxa"/>
            <w:tcBorders>
              <w:top w:val="nil"/>
              <w:left w:val="nil"/>
              <w:bottom w:val="nil"/>
              <w:right w:val="nil"/>
            </w:tcBorders>
            <w:shd w:val="clear" w:color="auto" w:fill="auto"/>
            <w:vAlign w:val="center"/>
          </w:tcPr>
          <w:p w14:paraId="3A18C0B7" w14:textId="484D190A" w:rsidR="00A30102" w:rsidRPr="00495094" w:rsidRDefault="00F614EF" w:rsidP="003315ED">
            <w:pPr>
              <w:jc w:val="center"/>
              <w:rPr>
                <w:rFonts w:ascii="Arial" w:hAnsi="Arial" w:cs="Arial"/>
                <w:sz w:val="22"/>
                <w:szCs w:val="22"/>
                <w:lang w:val="en-PH" w:eastAsia="en-PH"/>
              </w:rPr>
            </w:pPr>
            <w:r w:rsidRPr="00495094">
              <w:rPr>
                <w:rFonts w:ascii="Arial" w:hAnsi="Arial" w:cs="Arial"/>
                <w:sz w:val="22"/>
                <w:szCs w:val="22"/>
                <w:lang w:val="en-PH" w:eastAsia="en-PH"/>
              </w:rPr>
              <w:t>-1</w:t>
            </w:r>
            <w:r w:rsidR="00ED0A96" w:rsidRPr="00495094">
              <w:rPr>
                <w:rFonts w:ascii="Arial" w:hAnsi="Arial" w:cs="Arial"/>
                <w:sz w:val="22"/>
                <w:szCs w:val="22"/>
                <w:lang w:val="en-PH" w:eastAsia="en-PH"/>
              </w:rPr>
              <w:t>.</w:t>
            </w:r>
            <w:r w:rsidRPr="00495094">
              <w:rPr>
                <w:rFonts w:ascii="Arial" w:hAnsi="Arial" w:cs="Arial"/>
                <w:sz w:val="22"/>
                <w:szCs w:val="22"/>
                <w:lang w:val="en-PH" w:eastAsia="en-PH"/>
              </w:rPr>
              <w:t>3</w:t>
            </w:r>
          </w:p>
        </w:tc>
        <w:tc>
          <w:tcPr>
            <w:tcW w:w="2268" w:type="dxa"/>
            <w:tcBorders>
              <w:top w:val="nil"/>
              <w:left w:val="nil"/>
              <w:bottom w:val="nil"/>
              <w:right w:val="nil"/>
            </w:tcBorders>
            <w:shd w:val="clear" w:color="auto" w:fill="auto"/>
            <w:vAlign w:val="center"/>
            <w:hideMark/>
          </w:tcPr>
          <w:p w14:paraId="62A608F1" w14:textId="09EDFFF1" w:rsidR="00A30102" w:rsidRPr="00495094" w:rsidRDefault="004B5674" w:rsidP="003315ED">
            <w:pPr>
              <w:jc w:val="center"/>
              <w:rPr>
                <w:rFonts w:ascii="Arial" w:hAnsi="Arial" w:cs="Arial"/>
                <w:sz w:val="22"/>
                <w:szCs w:val="22"/>
                <w:lang w:val="en-PH" w:eastAsia="en-PH"/>
              </w:rPr>
            </w:pPr>
            <w:r w:rsidRPr="00495094">
              <w:rPr>
                <w:rFonts w:ascii="Arial" w:hAnsi="Arial" w:cs="Arial"/>
                <w:sz w:val="22"/>
                <w:szCs w:val="22"/>
                <w:lang w:eastAsia="en-PH"/>
              </w:rPr>
              <w:t>-</w:t>
            </w:r>
            <w:r w:rsidR="00ED0A96" w:rsidRPr="00495094">
              <w:rPr>
                <w:rFonts w:ascii="Arial" w:hAnsi="Arial" w:cs="Arial"/>
                <w:sz w:val="22"/>
                <w:szCs w:val="22"/>
                <w:lang w:eastAsia="en-PH"/>
              </w:rPr>
              <w:t>13.</w:t>
            </w:r>
            <w:r w:rsidR="00FB60E6" w:rsidRPr="00495094">
              <w:rPr>
                <w:rFonts w:ascii="Arial" w:hAnsi="Arial" w:cs="Arial"/>
                <w:sz w:val="22"/>
                <w:szCs w:val="22"/>
                <w:lang w:eastAsia="en-PH"/>
              </w:rPr>
              <w:t>9</w:t>
            </w:r>
          </w:p>
        </w:tc>
      </w:tr>
      <w:tr w:rsidR="00495094" w:rsidRPr="00495094" w14:paraId="216B2CCC" w14:textId="77777777" w:rsidTr="003315ED">
        <w:trPr>
          <w:trHeight w:val="300"/>
        </w:trPr>
        <w:tc>
          <w:tcPr>
            <w:tcW w:w="4482" w:type="dxa"/>
            <w:tcBorders>
              <w:top w:val="nil"/>
              <w:left w:val="nil"/>
              <w:bottom w:val="nil"/>
              <w:right w:val="nil"/>
            </w:tcBorders>
            <w:shd w:val="clear" w:color="auto" w:fill="auto"/>
            <w:vAlign w:val="center"/>
            <w:hideMark/>
          </w:tcPr>
          <w:p w14:paraId="41A8876E" w14:textId="77777777" w:rsidR="00A30102" w:rsidRPr="00495094" w:rsidRDefault="00A30102" w:rsidP="00A30102">
            <w:pPr>
              <w:ind w:left="-108"/>
              <w:rPr>
                <w:rFonts w:ascii="Arial" w:hAnsi="Arial" w:cs="Arial"/>
                <w:sz w:val="22"/>
                <w:szCs w:val="22"/>
                <w:lang w:val="en-PH" w:eastAsia="en-PH"/>
              </w:rPr>
            </w:pPr>
            <w:r w:rsidRPr="00495094">
              <w:rPr>
                <w:rFonts w:ascii="Arial" w:hAnsi="Arial" w:cs="Arial"/>
                <w:sz w:val="22"/>
                <w:szCs w:val="22"/>
                <w:lang w:eastAsia="en-PH"/>
              </w:rPr>
              <w:t>Return on average assets</w:t>
            </w:r>
          </w:p>
        </w:tc>
        <w:tc>
          <w:tcPr>
            <w:tcW w:w="1890" w:type="dxa"/>
            <w:tcBorders>
              <w:top w:val="nil"/>
              <w:left w:val="nil"/>
              <w:bottom w:val="nil"/>
              <w:right w:val="nil"/>
            </w:tcBorders>
            <w:shd w:val="clear" w:color="auto" w:fill="auto"/>
            <w:vAlign w:val="center"/>
          </w:tcPr>
          <w:p w14:paraId="7960624C" w14:textId="09500B74" w:rsidR="00A30102" w:rsidRPr="00495094" w:rsidRDefault="00F614EF" w:rsidP="003315ED">
            <w:pPr>
              <w:jc w:val="center"/>
              <w:rPr>
                <w:rFonts w:ascii="Arial" w:hAnsi="Arial" w:cs="Arial"/>
                <w:sz w:val="22"/>
                <w:szCs w:val="22"/>
                <w:lang w:val="en-PH" w:eastAsia="en-PH"/>
              </w:rPr>
            </w:pPr>
            <w:r w:rsidRPr="00495094">
              <w:rPr>
                <w:rFonts w:ascii="Arial" w:hAnsi="Arial" w:cs="Arial"/>
                <w:sz w:val="22"/>
                <w:szCs w:val="22"/>
                <w:lang w:val="en-PH" w:eastAsia="en-PH"/>
              </w:rPr>
              <w:t>-0</w:t>
            </w:r>
            <w:r w:rsidR="00ED0A96" w:rsidRPr="00495094">
              <w:rPr>
                <w:rFonts w:ascii="Arial" w:hAnsi="Arial" w:cs="Arial"/>
                <w:sz w:val="22"/>
                <w:szCs w:val="22"/>
                <w:lang w:val="en-PH" w:eastAsia="en-PH"/>
              </w:rPr>
              <w:t>.</w:t>
            </w:r>
            <w:r w:rsidRPr="00495094">
              <w:rPr>
                <w:rFonts w:ascii="Arial" w:hAnsi="Arial" w:cs="Arial"/>
                <w:sz w:val="22"/>
                <w:szCs w:val="22"/>
                <w:lang w:val="en-PH" w:eastAsia="en-PH"/>
              </w:rPr>
              <w:t>3</w:t>
            </w:r>
          </w:p>
        </w:tc>
        <w:tc>
          <w:tcPr>
            <w:tcW w:w="2268" w:type="dxa"/>
            <w:tcBorders>
              <w:top w:val="nil"/>
              <w:left w:val="nil"/>
              <w:bottom w:val="nil"/>
              <w:right w:val="nil"/>
            </w:tcBorders>
            <w:shd w:val="clear" w:color="auto" w:fill="auto"/>
            <w:vAlign w:val="center"/>
            <w:hideMark/>
          </w:tcPr>
          <w:p w14:paraId="01A7E790" w14:textId="776648ED" w:rsidR="00A30102" w:rsidRPr="00495094" w:rsidRDefault="00670513" w:rsidP="003315ED">
            <w:pPr>
              <w:jc w:val="center"/>
              <w:rPr>
                <w:rFonts w:ascii="Arial" w:hAnsi="Arial" w:cs="Arial"/>
                <w:sz w:val="22"/>
                <w:szCs w:val="22"/>
                <w:lang w:val="en-PH" w:eastAsia="en-PH"/>
              </w:rPr>
            </w:pPr>
            <w:r w:rsidRPr="00495094">
              <w:rPr>
                <w:rFonts w:ascii="Arial" w:hAnsi="Arial" w:cs="Arial"/>
                <w:sz w:val="22"/>
                <w:szCs w:val="22"/>
                <w:lang w:eastAsia="en-PH"/>
              </w:rPr>
              <w:t>-</w:t>
            </w:r>
            <w:r w:rsidR="00ED0A96" w:rsidRPr="00495094">
              <w:rPr>
                <w:rFonts w:ascii="Arial" w:hAnsi="Arial" w:cs="Arial"/>
                <w:sz w:val="22"/>
                <w:szCs w:val="22"/>
                <w:lang w:eastAsia="en-PH"/>
              </w:rPr>
              <w:t>3</w:t>
            </w:r>
            <w:r w:rsidRPr="00495094">
              <w:rPr>
                <w:rFonts w:ascii="Arial" w:hAnsi="Arial" w:cs="Arial"/>
                <w:sz w:val="22"/>
                <w:szCs w:val="22"/>
                <w:lang w:eastAsia="en-PH"/>
              </w:rPr>
              <w:t>.</w:t>
            </w:r>
            <w:r w:rsidR="00FB60E6" w:rsidRPr="00495094">
              <w:rPr>
                <w:rFonts w:ascii="Arial" w:hAnsi="Arial" w:cs="Arial"/>
                <w:sz w:val="22"/>
                <w:szCs w:val="22"/>
                <w:lang w:eastAsia="en-PH"/>
              </w:rPr>
              <w:t>4</w:t>
            </w:r>
          </w:p>
        </w:tc>
      </w:tr>
      <w:tr w:rsidR="00495094" w:rsidRPr="00495094" w14:paraId="457D3C4F" w14:textId="77777777" w:rsidTr="003315ED">
        <w:trPr>
          <w:trHeight w:val="300"/>
        </w:trPr>
        <w:tc>
          <w:tcPr>
            <w:tcW w:w="4482" w:type="dxa"/>
            <w:tcBorders>
              <w:top w:val="nil"/>
              <w:left w:val="nil"/>
              <w:bottom w:val="nil"/>
              <w:right w:val="nil"/>
            </w:tcBorders>
            <w:shd w:val="clear" w:color="auto" w:fill="auto"/>
            <w:vAlign w:val="center"/>
            <w:hideMark/>
          </w:tcPr>
          <w:p w14:paraId="27A24B67" w14:textId="77777777" w:rsidR="00A30102" w:rsidRPr="00495094" w:rsidRDefault="00A30102" w:rsidP="00A30102">
            <w:pPr>
              <w:ind w:left="-108"/>
              <w:rPr>
                <w:rFonts w:ascii="Arial" w:hAnsi="Arial" w:cs="Arial"/>
                <w:sz w:val="22"/>
                <w:szCs w:val="22"/>
                <w:lang w:val="en-PH" w:eastAsia="en-PH"/>
              </w:rPr>
            </w:pPr>
            <w:r w:rsidRPr="00495094">
              <w:rPr>
                <w:rFonts w:ascii="Arial" w:hAnsi="Arial" w:cs="Arial"/>
                <w:sz w:val="22"/>
                <w:szCs w:val="22"/>
                <w:lang w:eastAsia="en-PH"/>
              </w:rPr>
              <w:t>Net interest margin</w:t>
            </w:r>
          </w:p>
        </w:tc>
        <w:tc>
          <w:tcPr>
            <w:tcW w:w="1890" w:type="dxa"/>
            <w:tcBorders>
              <w:top w:val="nil"/>
              <w:left w:val="nil"/>
              <w:bottom w:val="nil"/>
              <w:right w:val="nil"/>
            </w:tcBorders>
            <w:shd w:val="clear" w:color="auto" w:fill="auto"/>
            <w:vAlign w:val="center"/>
          </w:tcPr>
          <w:p w14:paraId="183383BA" w14:textId="1F0ECCB3" w:rsidR="00A30102" w:rsidRPr="00495094" w:rsidRDefault="00ED0A96" w:rsidP="003315ED">
            <w:pPr>
              <w:jc w:val="center"/>
              <w:rPr>
                <w:rFonts w:ascii="Arial" w:hAnsi="Arial" w:cs="Arial"/>
                <w:sz w:val="22"/>
                <w:szCs w:val="22"/>
                <w:lang w:val="en-PH" w:eastAsia="en-PH"/>
              </w:rPr>
            </w:pPr>
            <w:r w:rsidRPr="00495094">
              <w:rPr>
                <w:rFonts w:ascii="Arial" w:hAnsi="Arial" w:cs="Arial"/>
                <w:sz w:val="22"/>
                <w:szCs w:val="22"/>
                <w:lang w:val="en-PH" w:eastAsia="en-PH"/>
              </w:rPr>
              <w:t>3</w:t>
            </w:r>
            <w:r w:rsidR="00A30102" w:rsidRPr="00495094">
              <w:rPr>
                <w:rFonts w:ascii="Arial" w:hAnsi="Arial" w:cs="Arial"/>
                <w:sz w:val="22"/>
                <w:szCs w:val="22"/>
                <w:lang w:val="en-PH" w:eastAsia="en-PH"/>
              </w:rPr>
              <w:t>.5</w:t>
            </w:r>
          </w:p>
        </w:tc>
        <w:tc>
          <w:tcPr>
            <w:tcW w:w="2268" w:type="dxa"/>
            <w:tcBorders>
              <w:top w:val="nil"/>
              <w:left w:val="nil"/>
              <w:bottom w:val="nil"/>
              <w:right w:val="nil"/>
            </w:tcBorders>
            <w:shd w:val="clear" w:color="auto" w:fill="auto"/>
            <w:vAlign w:val="center"/>
            <w:hideMark/>
          </w:tcPr>
          <w:p w14:paraId="0B51357A" w14:textId="56B93A8E" w:rsidR="00A30102" w:rsidRPr="00495094" w:rsidRDefault="00ED0A96" w:rsidP="003315ED">
            <w:pPr>
              <w:jc w:val="center"/>
              <w:rPr>
                <w:rFonts w:ascii="Arial" w:hAnsi="Arial" w:cs="Arial"/>
                <w:sz w:val="22"/>
                <w:szCs w:val="22"/>
                <w:lang w:val="en-PH" w:eastAsia="en-PH"/>
              </w:rPr>
            </w:pPr>
            <w:r w:rsidRPr="00495094">
              <w:rPr>
                <w:rFonts w:ascii="Arial" w:hAnsi="Arial" w:cs="Arial"/>
                <w:sz w:val="22"/>
                <w:szCs w:val="22"/>
                <w:lang w:eastAsia="en-PH"/>
              </w:rPr>
              <w:t>0</w:t>
            </w:r>
            <w:r w:rsidR="00A30102" w:rsidRPr="00495094">
              <w:rPr>
                <w:rFonts w:ascii="Arial" w:hAnsi="Arial" w:cs="Arial"/>
                <w:sz w:val="22"/>
                <w:szCs w:val="22"/>
                <w:lang w:eastAsia="en-PH"/>
              </w:rPr>
              <w:t>.</w:t>
            </w:r>
            <w:r w:rsidRPr="00495094">
              <w:rPr>
                <w:rFonts w:ascii="Arial" w:hAnsi="Arial" w:cs="Arial"/>
                <w:sz w:val="22"/>
                <w:szCs w:val="22"/>
                <w:lang w:eastAsia="en-PH"/>
              </w:rPr>
              <w:t>5</w:t>
            </w:r>
          </w:p>
        </w:tc>
      </w:tr>
      <w:tr w:rsidR="00495094" w:rsidRPr="00495094" w14:paraId="7C561824" w14:textId="77777777" w:rsidTr="003315ED">
        <w:trPr>
          <w:trHeight w:val="315"/>
        </w:trPr>
        <w:tc>
          <w:tcPr>
            <w:tcW w:w="4482" w:type="dxa"/>
            <w:tcBorders>
              <w:top w:val="nil"/>
              <w:left w:val="nil"/>
              <w:bottom w:val="single" w:sz="8" w:space="0" w:color="auto"/>
              <w:right w:val="nil"/>
            </w:tcBorders>
            <w:shd w:val="clear" w:color="auto" w:fill="auto"/>
            <w:vAlign w:val="center"/>
            <w:hideMark/>
          </w:tcPr>
          <w:p w14:paraId="707F809F" w14:textId="77777777" w:rsidR="00A30102" w:rsidRPr="00495094" w:rsidRDefault="00A30102" w:rsidP="00A30102">
            <w:pPr>
              <w:ind w:left="-108"/>
              <w:rPr>
                <w:rFonts w:ascii="Arial" w:hAnsi="Arial" w:cs="Arial"/>
                <w:sz w:val="22"/>
                <w:szCs w:val="22"/>
                <w:lang w:val="en-PH" w:eastAsia="en-PH"/>
              </w:rPr>
            </w:pPr>
            <w:r w:rsidRPr="00495094">
              <w:rPr>
                <w:rFonts w:ascii="Arial" w:hAnsi="Arial" w:cs="Arial"/>
                <w:sz w:val="22"/>
                <w:szCs w:val="22"/>
                <w:lang w:eastAsia="en-PH"/>
              </w:rPr>
              <w:t>Risk Based Capital Adequacy Ratio</w:t>
            </w:r>
          </w:p>
        </w:tc>
        <w:tc>
          <w:tcPr>
            <w:tcW w:w="1890" w:type="dxa"/>
            <w:tcBorders>
              <w:top w:val="nil"/>
              <w:left w:val="nil"/>
              <w:bottom w:val="single" w:sz="8" w:space="0" w:color="auto"/>
              <w:right w:val="nil"/>
            </w:tcBorders>
            <w:shd w:val="clear" w:color="auto" w:fill="auto"/>
            <w:vAlign w:val="center"/>
          </w:tcPr>
          <w:p w14:paraId="667634B8" w14:textId="1EFF3E23" w:rsidR="00A30102" w:rsidRPr="00495094" w:rsidRDefault="00ED0A96" w:rsidP="003315ED">
            <w:pPr>
              <w:jc w:val="center"/>
              <w:rPr>
                <w:rFonts w:ascii="Arial" w:hAnsi="Arial" w:cs="Arial"/>
                <w:sz w:val="22"/>
                <w:szCs w:val="22"/>
                <w:lang w:val="en-PH" w:eastAsia="en-PH"/>
              </w:rPr>
            </w:pPr>
            <w:r w:rsidRPr="00495094">
              <w:rPr>
                <w:rFonts w:ascii="Arial" w:hAnsi="Arial" w:cs="Arial"/>
                <w:sz w:val="22"/>
                <w:szCs w:val="22"/>
                <w:lang w:val="en-PH" w:eastAsia="en-PH"/>
              </w:rPr>
              <w:t>5</w:t>
            </w:r>
            <w:r w:rsidR="00F614EF" w:rsidRPr="00495094">
              <w:rPr>
                <w:rFonts w:ascii="Arial" w:hAnsi="Arial" w:cs="Arial"/>
                <w:sz w:val="22"/>
                <w:szCs w:val="22"/>
                <w:lang w:val="en-PH" w:eastAsia="en-PH"/>
              </w:rPr>
              <w:t>3</w:t>
            </w:r>
            <w:r w:rsidRPr="00495094">
              <w:rPr>
                <w:rFonts w:ascii="Arial" w:hAnsi="Arial" w:cs="Arial"/>
                <w:sz w:val="22"/>
                <w:szCs w:val="22"/>
                <w:lang w:val="en-PH" w:eastAsia="en-PH"/>
              </w:rPr>
              <w:t>.</w:t>
            </w:r>
            <w:r w:rsidR="00F614EF" w:rsidRPr="00495094">
              <w:rPr>
                <w:rFonts w:ascii="Arial" w:hAnsi="Arial" w:cs="Arial"/>
                <w:sz w:val="22"/>
                <w:szCs w:val="22"/>
                <w:lang w:val="en-PH" w:eastAsia="en-PH"/>
              </w:rPr>
              <w:t>1</w:t>
            </w:r>
          </w:p>
        </w:tc>
        <w:tc>
          <w:tcPr>
            <w:tcW w:w="2268" w:type="dxa"/>
            <w:tcBorders>
              <w:top w:val="nil"/>
              <w:left w:val="nil"/>
              <w:bottom w:val="single" w:sz="8" w:space="0" w:color="auto"/>
              <w:right w:val="nil"/>
            </w:tcBorders>
            <w:shd w:val="clear" w:color="auto" w:fill="auto"/>
            <w:vAlign w:val="center"/>
            <w:hideMark/>
          </w:tcPr>
          <w:p w14:paraId="5FD1527B" w14:textId="1094811C" w:rsidR="00A30102" w:rsidRPr="00495094" w:rsidRDefault="00ED0A96" w:rsidP="003315ED">
            <w:pPr>
              <w:jc w:val="center"/>
              <w:rPr>
                <w:rFonts w:ascii="Arial" w:hAnsi="Arial" w:cs="Arial"/>
                <w:sz w:val="22"/>
                <w:szCs w:val="22"/>
                <w:lang w:val="en-PH" w:eastAsia="en-PH"/>
              </w:rPr>
            </w:pPr>
            <w:r w:rsidRPr="00495094">
              <w:rPr>
                <w:rFonts w:ascii="Arial" w:hAnsi="Arial" w:cs="Arial"/>
                <w:sz w:val="22"/>
                <w:szCs w:val="22"/>
                <w:lang w:val="en-PH" w:eastAsia="en-PH"/>
              </w:rPr>
              <w:t>136.</w:t>
            </w:r>
            <w:r w:rsidR="00FB60E6" w:rsidRPr="00495094">
              <w:rPr>
                <w:rFonts w:ascii="Arial" w:hAnsi="Arial" w:cs="Arial"/>
                <w:sz w:val="22"/>
                <w:szCs w:val="22"/>
                <w:lang w:val="en-PH" w:eastAsia="en-PH"/>
              </w:rPr>
              <w:t>1</w:t>
            </w:r>
          </w:p>
        </w:tc>
      </w:tr>
    </w:tbl>
    <w:p w14:paraId="6549CE1F" w14:textId="77777777" w:rsidR="00F210FE" w:rsidRPr="00495094" w:rsidRDefault="00F210FE" w:rsidP="000416CC">
      <w:pPr>
        <w:rPr>
          <w:rFonts w:ascii="Arial" w:hAnsi="Arial" w:cs="Arial"/>
          <w:b/>
          <w:sz w:val="22"/>
          <w:szCs w:val="22"/>
        </w:rPr>
      </w:pPr>
    </w:p>
    <w:p w14:paraId="0594026D" w14:textId="77777777" w:rsidR="003C5E3D" w:rsidRPr="00495094" w:rsidRDefault="003C5E3D" w:rsidP="000416CC">
      <w:pPr>
        <w:rPr>
          <w:rFonts w:ascii="Arial" w:hAnsi="Arial" w:cs="Arial"/>
          <w:b/>
          <w:bCs/>
          <w:sz w:val="22"/>
          <w:szCs w:val="22"/>
          <w:u w:val="single"/>
        </w:rPr>
      </w:pPr>
    </w:p>
    <w:p w14:paraId="591585F2" w14:textId="77777777" w:rsidR="005F093E" w:rsidRPr="00495094" w:rsidRDefault="005F093E" w:rsidP="007F4EEC">
      <w:pPr>
        <w:numPr>
          <w:ilvl w:val="0"/>
          <w:numId w:val="12"/>
        </w:numPr>
        <w:ind w:left="0" w:firstLine="0"/>
        <w:rPr>
          <w:rFonts w:ascii="Arial" w:hAnsi="Arial" w:cs="Arial"/>
          <w:b/>
          <w:bCs/>
          <w:sz w:val="22"/>
          <w:szCs w:val="22"/>
        </w:rPr>
      </w:pPr>
      <w:r w:rsidRPr="00495094">
        <w:rPr>
          <w:rFonts w:ascii="Arial" w:hAnsi="Arial" w:cs="Arial"/>
          <w:b/>
          <w:bCs/>
          <w:sz w:val="22"/>
          <w:szCs w:val="22"/>
        </w:rPr>
        <w:t xml:space="preserve">Capital Management </w:t>
      </w:r>
    </w:p>
    <w:p w14:paraId="29C0866F" w14:textId="77777777" w:rsidR="005F093E" w:rsidRPr="00495094" w:rsidRDefault="005F093E" w:rsidP="005F093E">
      <w:pPr>
        <w:ind w:left="426"/>
        <w:rPr>
          <w:rFonts w:ascii="Arial" w:hAnsi="Arial" w:cs="Arial"/>
          <w:sz w:val="22"/>
          <w:szCs w:val="22"/>
        </w:rPr>
      </w:pPr>
    </w:p>
    <w:p w14:paraId="59F20AEB" w14:textId="77777777" w:rsidR="005F093E" w:rsidRPr="00495094" w:rsidRDefault="005F093E" w:rsidP="005F093E">
      <w:pPr>
        <w:pStyle w:val="NoSpacing"/>
        <w:spacing w:after="20"/>
        <w:rPr>
          <w:rFonts w:ascii="Arial" w:hAnsi="Arial" w:cs="Arial"/>
          <w:bCs/>
        </w:rPr>
      </w:pPr>
      <w:r w:rsidRPr="00495094">
        <w:rPr>
          <w:rFonts w:ascii="Arial" w:hAnsi="Arial" w:cs="Arial"/>
          <w:bCs/>
        </w:rPr>
        <w:t xml:space="preserve">The overall capital management objective of the Bank is to create a more efficient capital structure while ensuring compliance with externally imposed capital requirements. </w:t>
      </w:r>
    </w:p>
    <w:p w14:paraId="107AED51" w14:textId="77777777" w:rsidR="005F093E" w:rsidRPr="00495094" w:rsidRDefault="005F093E" w:rsidP="005F093E">
      <w:pPr>
        <w:pStyle w:val="NoSpacing"/>
        <w:spacing w:after="20"/>
        <w:rPr>
          <w:rFonts w:ascii="Arial" w:hAnsi="Arial" w:cs="Arial"/>
          <w:bCs/>
        </w:rPr>
      </w:pPr>
    </w:p>
    <w:p w14:paraId="3599B4DC" w14:textId="77777777" w:rsidR="005F093E" w:rsidRPr="00495094" w:rsidRDefault="005F093E" w:rsidP="005F093E">
      <w:pPr>
        <w:pStyle w:val="NoSpacing"/>
        <w:spacing w:after="20"/>
        <w:rPr>
          <w:rFonts w:ascii="Arial" w:hAnsi="Arial" w:cs="Arial"/>
        </w:rPr>
      </w:pPr>
      <w:r w:rsidRPr="00495094">
        <w:rPr>
          <w:rFonts w:ascii="Arial" w:hAnsi="Arial" w:cs="Arial"/>
          <w:bCs/>
        </w:rPr>
        <w:t>The Bank manages its capital by maintaining strong credit ratings and healthy risk-based Capital Adequacy Ratio to support its business and sustain its mandate. Adjustments to the Bank’s capital structure are made in the light of changes in economic conditions and the risk characteristics of its activities. In order to maintain or adjust the capital structure, the bank</w:t>
      </w:r>
      <w:r w:rsidRPr="00495094">
        <w:rPr>
          <w:rFonts w:ascii="Arial" w:hAnsi="Arial" w:cs="Arial"/>
        </w:rPr>
        <w:t xml:space="preserve"> may issue capital securities. No changes were made in the objectives, policies and processes from the previous year.</w:t>
      </w:r>
    </w:p>
    <w:p w14:paraId="2F43BDA4" w14:textId="77777777" w:rsidR="00C031A2" w:rsidRPr="00495094" w:rsidRDefault="00C031A2" w:rsidP="005F093E">
      <w:pPr>
        <w:pStyle w:val="NoSpacing"/>
        <w:spacing w:after="20"/>
        <w:rPr>
          <w:rFonts w:ascii="Arial" w:hAnsi="Arial" w:cs="Arial"/>
        </w:rPr>
      </w:pPr>
    </w:p>
    <w:p w14:paraId="3FB72444" w14:textId="77777777" w:rsidR="00670513" w:rsidRPr="00495094" w:rsidRDefault="00670513" w:rsidP="005F093E">
      <w:pPr>
        <w:pStyle w:val="NoSpacing"/>
        <w:spacing w:after="20"/>
        <w:rPr>
          <w:rFonts w:ascii="Arial" w:hAnsi="Arial" w:cs="Arial"/>
        </w:rPr>
      </w:pPr>
    </w:p>
    <w:p w14:paraId="18C25B04" w14:textId="77777777" w:rsidR="00807C5B" w:rsidRPr="00495094" w:rsidRDefault="00807C5B" w:rsidP="005F093E">
      <w:pPr>
        <w:pStyle w:val="NoSpacing"/>
        <w:spacing w:after="20"/>
        <w:rPr>
          <w:rFonts w:ascii="Arial" w:hAnsi="Arial" w:cs="Arial"/>
        </w:rPr>
      </w:pPr>
    </w:p>
    <w:p w14:paraId="732A5BA0" w14:textId="77777777" w:rsidR="00807C5B" w:rsidRPr="00495094" w:rsidRDefault="00807C5B" w:rsidP="005F093E">
      <w:pPr>
        <w:pStyle w:val="NoSpacing"/>
        <w:spacing w:after="20"/>
        <w:rPr>
          <w:rFonts w:ascii="Arial" w:hAnsi="Arial" w:cs="Arial"/>
        </w:rPr>
      </w:pPr>
    </w:p>
    <w:p w14:paraId="3B0A0BA7" w14:textId="77777777" w:rsidR="00807C5B" w:rsidRPr="00495094" w:rsidRDefault="00807C5B" w:rsidP="005F093E">
      <w:pPr>
        <w:pStyle w:val="NoSpacing"/>
        <w:spacing w:after="20"/>
        <w:rPr>
          <w:rFonts w:ascii="Arial" w:hAnsi="Arial" w:cs="Arial"/>
        </w:rPr>
      </w:pPr>
    </w:p>
    <w:p w14:paraId="144E7845" w14:textId="77777777" w:rsidR="000A51CA" w:rsidRPr="00495094" w:rsidRDefault="008A4C15" w:rsidP="007F4EEC">
      <w:pPr>
        <w:numPr>
          <w:ilvl w:val="0"/>
          <w:numId w:val="12"/>
        </w:numPr>
        <w:ind w:left="720"/>
        <w:rPr>
          <w:rFonts w:ascii="Arial" w:hAnsi="Arial" w:cs="Arial"/>
          <w:bCs/>
          <w:sz w:val="22"/>
          <w:szCs w:val="22"/>
        </w:rPr>
      </w:pPr>
      <w:r w:rsidRPr="00495094">
        <w:rPr>
          <w:rFonts w:ascii="Arial" w:hAnsi="Arial" w:cs="Arial"/>
          <w:b/>
          <w:bCs/>
          <w:sz w:val="22"/>
          <w:szCs w:val="22"/>
        </w:rPr>
        <w:lastRenderedPageBreak/>
        <w:t>Reclassification of Accounts</w:t>
      </w:r>
    </w:p>
    <w:p w14:paraId="2168B786" w14:textId="77777777" w:rsidR="000A51CA" w:rsidRPr="00495094" w:rsidRDefault="000A51CA" w:rsidP="008D0E35">
      <w:pPr>
        <w:rPr>
          <w:rFonts w:ascii="Arial" w:hAnsi="Arial" w:cs="Arial"/>
          <w:bCs/>
          <w:sz w:val="22"/>
          <w:szCs w:val="22"/>
        </w:rPr>
      </w:pPr>
    </w:p>
    <w:p w14:paraId="49555BF5" w14:textId="08FD172E" w:rsidR="000A51CA" w:rsidRPr="00495094" w:rsidRDefault="000A51CA" w:rsidP="008D0E35">
      <w:pPr>
        <w:rPr>
          <w:rFonts w:ascii="Arial" w:hAnsi="Arial" w:cs="Arial"/>
          <w:bCs/>
          <w:sz w:val="22"/>
          <w:szCs w:val="22"/>
        </w:rPr>
      </w:pPr>
      <w:r w:rsidRPr="00495094">
        <w:rPr>
          <w:rFonts w:ascii="Arial" w:hAnsi="Arial" w:cs="Arial"/>
          <w:bCs/>
          <w:sz w:val="22"/>
          <w:szCs w:val="22"/>
        </w:rPr>
        <w:t xml:space="preserve">Certain accounts in the financial statements were reclassified to conform </w:t>
      </w:r>
      <w:r w:rsidR="006F59CB" w:rsidRPr="00495094">
        <w:rPr>
          <w:rFonts w:ascii="Arial" w:hAnsi="Arial" w:cs="Arial"/>
          <w:bCs/>
          <w:sz w:val="22"/>
          <w:szCs w:val="22"/>
        </w:rPr>
        <w:t>with</w:t>
      </w:r>
      <w:r w:rsidRPr="00495094">
        <w:rPr>
          <w:rFonts w:ascii="Arial" w:hAnsi="Arial" w:cs="Arial"/>
          <w:bCs/>
          <w:sz w:val="22"/>
          <w:szCs w:val="22"/>
        </w:rPr>
        <w:t xml:space="preserve"> the current year’s presentation.</w:t>
      </w:r>
    </w:p>
    <w:p w14:paraId="76A6DFC1" w14:textId="77777777" w:rsidR="004738AB" w:rsidRPr="00495094" w:rsidRDefault="004738AB" w:rsidP="00C542B7">
      <w:pPr>
        <w:rPr>
          <w:rFonts w:ascii="Arial" w:hAnsi="Arial" w:cs="Arial"/>
          <w:b/>
          <w:bCs/>
          <w:sz w:val="22"/>
          <w:szCs w:val="22"/>
        </w:rPr>
      </w:pPr>
    </w:p>
    <w:p w14:paraId="7AE2D6D0" w14:textId="77777777" w:rsidR="004738AB" w:rsidRPr="00495094" w:rsidRDefault="004738AB" w:rsidP="00C542B7">
      <w:pPr>
        <w:rPr>
          <w:rFonts w:ascii="Arial" w:hAnsi="Arial" w:cs="Arial"/>
          <w:b/>
          <w:bCs/>
          <w:sz w:val="22"/>
          <w:szCs w:val="22"/>
        </w:rPr>
      </w:pPr>
    </w:p>
    <w:p w14:paraId="5EF27E7F" w14:textId="77777777" w:rsidR="007F2D39" w:rsidRPr="00495094" w:rsidRDefault="008A4C15" w:rsidP="007F4EEC">
      <w:pPr>
        <w:numPr>
          <w:ilvl w:val="0"/>
          <w:numId w:val="12"/>
        </w:numPr>
        <w:ind w:left="720"/>
        <w:rPr>
          <w:rFonts w:ascii="Arial" w:hAnsi="Arial" w:cs="Arial"/>
          <w:b/>
          <w:bCs/>
          <w:sz w:val="22"/>
          <w:szCs w:val="22"/>
        </w:rPr>
      </w:pPr>
      <w:r w:rsidRPr="00495094">
        <w:rPr>
          <w:rFonts w:ascii="Arial" w:hAnsi="Arial" w:cs="Arial"/>
          <w:b/>
          <w:bCs/>
          <w:sz w:val="22"/>
          <w:szCs w:val="22"/>
        </w:rPr>
        <w:t>Management of Risks Related to Financial Instruments</w:t>
      </w:r>
    </w:p>
    <w:p w14:paraId="17EBB17F" w14:textId="77777777" w:rsidR="007F2D39" w:rsidRPr="00495094" w:rsidRDefault="007F2D39" w:rsidP="007F2D39">
      <w:pPr>
        <w:rPr>
          <w:rFonts w:ascii="Arial" w:hAnsi="Arial" w:cs="Arial"/>
          <w:sz w:val="22"/>
          <w:szCs w:val="22"/>
        </w:rPr>
      </w:pPr>
      <w:r w:rsidRPr="00495094">
        <w:rPr>
          <w:rFonts w:ascii="Arial" w:hAnsi="Arial" w:cs="Arial"/>
          <w:sz w:val="22"/>
          <w:szCs w:val="22"/>
        </w:rPr>
        <w:t xml:space="preserve">       </w:t>
      </w:r>
    </w:p>
    <w:p w14:paraId="51BC3ED9" w14:textId="77777777" w:rsidR="005F093E" w:rsidRPr="00495094" w:rsidRDefault="005F093E" w:rsidP="005F093E">
      <w:pPr>
        <w:rPr>
          <w:rFonts w:ascii="Arial" w:hAnsi="Arial" w:cs="Arial"/>
          <w:i/>
          <w:iCs/>
          <w:sz w:val="22"/>
          <w:szCs w:val="22"/>
        </w:rPr>
      </w:pPr>
      <w:r w:rsidRPr="00495094">
        <w:rPr>
          <w:rFonts w:ascii="Arial" w:hAnsi="Arial" w:cs="Arial"/>
          <w:i/>
          <w:iCs/>
          <w:sz w:val="22"/>
          <w:szCs w:val="22"/>
        </w:rPr>
        <w:t xml:space="preserve">Credit risk management </w:t>
      </w:r>
    </w:p>
    <w:p w14:paraId="3DC3F1C9" w14:textId="77777777" w:rsidR="005F093E" w:rsidRPr="00495094" w:rsidRDefault="005F093E" w:rsidP="005F093E">
      <w:pPr>
        <w:rPr>
          <w:rFonts w:ascii="Arial" w:hAnsi="Arial" w:cs="Arial"/>
          <w:sz w:val="22"/>
          <w:szCs w:val="22"/>
        </w:rPr>
      </w:pPr>
    </w:p>
    <w:p w14:paraId="211F7587" w14:textId="77777777" w:rsidR="005F093E" w:rsidRPr="00495094" w:rsidRDefault="005F093E" w:rsidP="005F093E">
      <w:pPr>
        <w:rPr>
          <w:rFonts w:ascii="Arial" w:hAnsi="Arial" w:cs="Arial"/>
          <w:sz w:val="22"/>
          <w:szCs w:val="22"/>
        </w:rPr>
      </w:pPr>
      <w:r w:rsidRPr="00495094">
        <w:rPr>
          <w:rFonts w:ascii="Arial" w:hAnsi="Arial" w:cs="Arial"/>
          <w:bCs/>
          <w:sz w:val="22"/>
          <w:szCs w:val="22"/>
        </w:rPr>
        <w:t>Credit</w:t>
      </w:r>
      <w:r w:rsidRPr="00495094">
        <w:rPr>
          <w:rFonts w:ascii="Arial" w:hAnsi="Arial" w:cs="Arial"/>
          <w:sz w:val="22"/>
          <w:szCs w:val="22"/>
        </w:rPr>
        <w:t xml:space="preserve"> risk is a possibility of a loss resulting from </w:t>
      </w:r>
      <w:r w:rsidRPr="00495094">
        <w:rPr>
          <w:rFonts w:ascii="Arial" w:hAnsi="Arial" w:cs="Arial"/>
          <w:sz w:val="22"/>
          <w:szCs w:val="22"/>
          <w:shd w:val="clear" w:color="auto" w:fill="FFFFFF"/>
        </w:rPr>
        <w:t xml:space="preserve">a borrower's failure to repay a loan or meet contractual obligations. Traditionally, it refers to the risk that a lender may not receive the owed principal and interest, which results in an interruption of </w:t>
      </w:r>
      <w:r w:rsidRPr="00495094">
        <w:rPr>
          <w:rFonts w:ascii="Arial" w:hAnsi="Arial" w:cs="Arial"/>
          <w:sz w:val="22"/>
          <w:szCs w:val="22"/>
        </w:rPr>
        <w:t xml:space="preserve">cash flows </w:t>
      </w:r>
      <w:r w:rsidRPr="00495094">
        <w:rPr>
          <w:rFonts w:ascii="Arial" w:hAnsi="Arial" w:cs="Arial"/>
          <w:sz w:val="22"/>
          <w:szCs w:val="22"/>
          <w:shd w:val="clear" w:color="auto" w:fill="FFFFFF"/>
        </w:rPr>
        <w:t>and increased costs for collection.</w:t>
      </w:r>
    </w:p>
    <w:p w14:paraId="4EEC76C9" w14:textId="77777777" w:rsidR="005F093E" w:rsidRPr="00495094" w:rsidRDefault="005F093E" w:rsidP="005F093E">
      <w:pPr>
        <w:rPr>
          <w:rFonts w:ascii="Arial" w:hAnsi="Arial" w:cs="Arial"/>
          <w:sz w:val="22"/>
          <w:szCs w:val="22"/>
        </w:rPr>
      </w:pPr>
      <w:r w:rsidRPr="00495094">
        <w:rPr>
          <w:rFonts w:ascii="Arial" w:hAnsi="Arial" w:cs="Arial"/>
          <w:sz w:val="22"/>
          <w:szCs w:val="22"/>
        </w:rPr>
        <w:t xml:space="preserve"> </w:t>
      </w:r>
    </w:p>
    <w:p w14:paraId="6095E671" w14:textId="77777777" w:rsidR="005F093E" w:rsidRPr="00495094" w:rsidRDefault="005F093E" w:rsidP="005F093E">
      <w:pPr>
        <w:rPr>
          <w:rFonts w:ascii="Arial" w:hAnsi="Arial" w:cs="Arial"/>
          <w:sz w:val="22"/>
          <w:szCs w:val="22"/>
        </w:rPr>
      </w:pPr>
      <w:r w:rsidRPr="00495094">
        <w:rPr>
          <w:rFonts w:ascii="Arial" w:hAnsi="Arial" w:cs="Arial"/>
          <w:sz w:val="22"/>
          <w:szCs w:val="22"/>
        </w:rPr>
        <w:t xml:space="preserve">The Bank is exposed to credit risk as lender, holder of securities and as counterparty in trading activity. </w:t>
      </w:r>
    </w:p>
    <w:p w14:paraId="71B66CB1" w14:textId="77777777" w:rsidR="005F093E" w:rsidRPr="00495094" w:rsidRDefault="005F093E" w:rsidP="005F093E">
      <w:pPr>
        <w:rPr>
          <w:rFonts w:ascii="Arial" w:hAnsi="Arial" w:cs="Arial"/>
          <w:sz w:val="22"/>
          <w:szCs w:val="22"/>
        </w:rPr>
      </w:pPr>
    </w:p>
    <w:p w14:paraId="7E74B4DD" w14:textId="77777777" w:rsidR="005F093E" w:rsidRPr="00495094" w:rsidRDefault="005F093E" w:rsidP="005F093E">
      <w:pPr>
        <w:rPr>
          <w:rFonts w:ascii="Arial" w:hAnsi="Arial" w:cs="Arial"/>
          <w:i/>
          <w:iCs/>
          <w:sz w:val="22"/>
          <w:szCs w:val="22"/>
        </w:rPr>
      </w:pPr>
      <w:r w:rsidRPr="00495094">
        <w:rPr>
          <w:rFonts w:ascii="Arial" w:hAnsi="Arial" w:cs="Arial"/>
          <w:i/>
          <w:iCs/>
          <w:sz w:val="22"/>
          <w:szCs w:val="22"/>
        </w:rPr>
        <w:t>Management of Credit Risk</w:t>
      </w:r>
    </w:p>
    <w:p w14:paraId="5E4B7825" w14:textId="77777777" w:rsidR="005F093E" w:rsidRPr="00495094" w:rsidRDefault="005F093E" w:rsidP="005F093E">
      <w:pPr>
        <w:rPr>
          <w:rFonts w:ascii="Arial" w:hAnsi="Arial" w:cs="Arial"/>
          <w:sz w:val="22"/>
          <w:szCs w:val="22"/>
        </w:rPr>
      </w:pPr>
    </w:p>
    <w:p w14:paraId="104D1902" w14:textId="77777777" w:rsidR="005F093E" w:rsidRPr="00495094" w:rsidRDefault="005F093E" w:rsidP="005F093E">
      <w:pPr>
        <w:rPr>
          <w:rFonts w:ascii="Arial" w:hAnsi="Arial" w:cs="Arial"/>
          <w:sz w:val="22"/>
          <w:szCs w:val="22"/>
        </w:rPr>
      </w:pPr>
      <w:r w:rsidRPr="00495094">
        <w:rPr>
          <w:rFonts w:ascii="Arial" w:hAnsi="Arial" w:cs="Arial"/>
          <w:sz w:val="22"/>
          <w:szCs w:val="22"/>
        </w:rPr>
        <w:t>Credit risk management aims to maintain its risk exposure within proper and acceptable parameters set out in contractual agreement.</w:t>
      </w:r>
    </w:p>
    <w:p w14:paraId="78C514F9" w14:textId="77777777" w:rsidR="005F093E" w:rsidRPr="00495094" w:rsidRDefault="005F093E" w:rsidP="005F093E">
      <w:pPr>
        <w:rPr>
          <w:rFonts w:ascii="Arial" w:hAnsi="Arial" w:cs="Arial"/>
          <w:sz w:val="22"/>
          <w:szCs w:val="22"/>
        </w:rPr>
      </w:pPr>
    </w:p>
    <w:p w14:paraId="3BC29DF3" w14:textId="77777777" w:rsidR="005F093E" w:rsidRPr="00495094" w:rsidRDefault="005F093E" w:rsidP="005F093E">
      <w:pPr>
        <w:rPr>
          <w:rFonts w:ascii="Arial" w:hAnsi="Arial" w:cs="Arial"/>
          <w:sz w:val="22"/>
          <w:szCs w:val="22"/>
          <w:shd w:val="clear" w:color="auto" w:fill="FFFFFF"/>
        </w:rPr>
      </w:pPr>
      <w:r w:rsidRPr="00495094">
        <w:rPr>
          <w:rFonts w:ascii="Arial" w:hAnsi="Arial" w:cs="Arial"/>
          <w:sz w:val="22"/>
          <w:szCs w:val="22"/>
        </w:rPr>
        <w:t>The process</w:t>
      </w:r>
      <w:r w:rsidRPr="00495094">
        <w:rPr>
          <w:rFonts w:ascii="Arial" w:hAnsi="Arial" w:cs="Arial"/>
          <w:sz w:val="22"/>
          <w:szCs w:val="22"/>
          <w:shd w:val="clear" w:color="auto" w:fill="FFFFFF"/>
        </w:rPr>
        <w:t xml:space="preserve"> involves the identification, measurement, and monitoring of actual or potential losses and implementation of appropriate measures by setting-up limits to credit exposures. </w:t>
      </w:r>
    </w:p>
    <w:p w14:paraId="3432591B" w14:textId="77777777" w:rsidR="005F093E" w:rsidRPr="00495094" w:rsidRDefault="005F093E" w:rsidP="005F093E">
      <w:pPr>
        <w:rPr>
          <w:rFonts w:ascii="Arial" w:hAnsi="Arial" w:cs="Arial"/>
          <w:sz w:val="22"/>
          <w:szCs w:val="22"/>
        </w:rPr>
      </w:pPr>
    </w:p>
    <w:p w14:paraId="0A9134E2" w14:textId="77777777" w:rsidR="005F093E" w:rsidRPr="00495094" w:rsidRDefault="005F093E" w:rsidP="005F093E">
      <w:pPr>
        <w:rPr>
          <w:rFonts w:ascii="Arial" w:hAnsi="Arial" w:cs="Arial"/>
          <w:sz w:val="22"/>
          <w:szCs w:val="22"/>
        </w:rPr>
      </w:pPr>
      <w:r w:rsidRPr="00495094">
        <w:rPr>
          <w:rFonts w:ascii="Arial" w:hAnsi="Arial" w:cs="Arial"/>
          <w:sz w:val="22"/>
          <w:szCs w:val="22"/>
        </w:rPr>
        <w:t>The Bank also manages the credit risk inherent in the entire portfolio as well as the risk in individual credits or transactions and the correlation of credit risk with other risks. The effective management of credit risk is a critical component of a comprehensive approach to risk management and essential to the long-term success of the Bank.</w:t>
      </w:r>
    </w:p>
    <w:p w14:paraId="7FA66DEE" w14:textId="77777777" w:rsidR="005F093E" w:rsidRPr="00495094" w:rsidRDefault="005F093E" w:rsidP="005F093E">
      <w:pPr>
        <w:rPr>
          <w:rFonts w:ascii="Arial" w:hAnsi="Arial" w:cs="Arial"/>
          <w:sz w:val="22"/>
          <w:szCs w:val="22"/>
        </w:rPr>
      </w:pPr>
    </w:p>
    <w:p w14:paraId="2ED44DA1" w14:textId="77777777" w:rsidR="005F093E" w:rsidRPr="00495094" w:rsidRDefault="005F093E" w:rsidP="005F093E">
      <w:pPr>
        <w:rPr>
          <w:rFonts w:ascii="Arial" w:hAnsi="Arial" w:cs="Arial"/>
          <w:sz w:val="22"/>
          <w:szCs w:val="22"/>
        </w:rPr>
      </w:pPr>
      <w:r w:rsidRPr="00495094">
        <w:rPr>
          <w:rFonts w:ascii="Arial" w:hAnsi="Arial" w:cs="Arial"/>
          <w:sz w:val="22"/>
          <w:szCs w:val="22"/>
        </w:rPr>
        <w:t>The Bank manages credit risk through a structured risk management system and structure, to wit:</w:t>
      </w:r>
    </w:p>
    <w:p w14:paraId="0C391C36" w14:textId="77777777" w:rsidR="00C50159" w:rsidRPr="00495094" w:rsidRDefault="00C50159" w:rsidP="005F093E">
      <w:pPr>
        <w:rPr>
          <w:rFonts w:ascii="Arial" w:hAnsi="Arial" w:cs="Arial"/>
          <w:sz w:val="22"/>
          <w:szCs w:val="22"/>
        </w:rPr>
      </w:pPr>
    </w:p>
    <w:p w14:paraId="68DD32CE" w14:textId="77777777" w:rsidR="005F093E" w:rsidRPr="00495094" w:rsidRDefault="005F093E" w:rsidP="00F73445">
      <w:pPr>
        <w:rPr>
          <w:rFonts w:ascii="Arial" w:hAnsi="Arial" w:cs="Arial"/>
          <w:bCs/>
          <w:i/>
          <w:iCs/>
          <w:sz w:val="22"/>
          <w:szCs w:val="22"/>
        </w:rPr>
      </w:pPr>
      <w:r w:rsidRPr="00495094">
        <w:rPr>
          <w:rFonts w:ascii="Arial" w:hAnsi="Arial" w:cs="Arial"/>
          <w:bCs/>
          <w:i/>
          <w:iCs/>
          <w:sz w:val="22"/>
          <w:szCs w:val="22"/>
        </w:rPr>
        <w:t>Risk Management System and Structure</w:t>
      </w:r>
    </w:p>
    <w:p w14:paraId="08F308E4" w14:textId="77777777" w:rsidR="005F093E" w:rsidRPr="00495094" w:rsidRDefault="005F093E" w:rsidP="005F093E">
      <w:pPr>
        <w:ind w:left="709"/>
        <w:rPr>
          <w:rFonts w:ascii="Arial" w:hAnsi="Arial" w:cs="Arial"/>
          <w:sz w:val="22"/>
          <w:szCs w:val="22"/>
        </w:rPr>
      </w:pPr>
    </w:p>
    <w:p w14:paraId="6EA8D690" w14:textId="77777777" w:rsidR="005F093E" w:rsidRPr="00495094" w:rsidRDefault="005F093E" w:rsidP="00F73445">
      <w:pPr>
        <w:rPr>
          <w:rFonts w:ascii="Arial" w:hAnsi="Arial" w:cs="Arial"/>
          <w:bCs/>
          <w:sz w:val="22"/>
          <w:szCs w:val="22"/>
        </w:rPr>
      </w:pPr>
      <w:r w:rsidRPr="00495094">
        <w:rPr>
          <w:rFonts w:ascii="Arial" w:hAnsi="Arial" w:cs="Arial"/>
          <w:bCs/>
          <w:sz w:val="22"/>
          <w:szCs w:val="22"/>
        </w:rPr>
        <w:t>The risk management framework at OFB is a top-down process where all risk policies and procedures are approved by the Board of Directors (BOD). The Board sets the overall risk tolerance of the Bank that is consistent with its business plan, financial strength and organizational capability.</w:t>
      </w:r>
    </w:p>
    <w:p w14:paraId="5E3C33F1" w14:textId="77777777" w:rsidR="005F093E" w:rsidRPr="00495094" w:rsidRDefault="005F093E" w:rsidP="005F093E">
      <w:pPr>
        <w:ind w:left="709"/>
        <w:rPr>
          <w:rFonts w:ascii="Arial" w:hAnsi="Arial" w:cs="Arial"/>
          <w:bCs/>
          <w:sz w:val="22"/>
          <w:szCs w:val="22"/>
        </w:rPr>
      </w:pPr>
    </w:p>
    <w:p w14:paraId="46A19877" w14:textId="26855842" w:rsidR="005F093E" w:rsidRPr="00495094" w:rsidRDefault="005F093E" w:rsidP="00F73445">
      <w:pPr>
        <w:rPr>
          <w:rFonts w:ascii="Arial" w:hAnsi="Arial" w:cs="Arial"/>
          <w:sz w:val="22"/>
          <w:szCs w:val="22"/>
        </w:rPr>
      </w:pPr>
      <w:r w:rsidRPr="00495094">
        <w:rPr>
          <w:rFonts w:ascii="Arial" w:hAnsi="Arial" w:cs="Arial"/>
          <w:bCs/>
          <w:sz w:val="22"/>
          <w:szCs w:val="22"/>
        </w:rPr>
        <w:t>BOD has created the Corporate Governance and Risk Management</w:t>
      </w:r>
      <w:r w:rsidRPr="00495094">
        <w:rPr>
          <w:rFonts w:ascii="Arial" w:hAnsi="Arial" w:cs="Arial"/>
          <w:sz w:val="22"/>
          <w:szCs w:val="22"/>
        </w:rPr>
        <w:t xml:space="preserve"> Committee (CGRMC), composed of </w:t>
      </w:r>
      <w:r w:rsidR="00670513" w:rsidRPr="00495094">
        <w:rPr>
          <w:rFonts w:ascii="Arial" w:hAnsi="Arial" w:cs="Arial"/>
          <w:sz w:val="22"/>
          <w:szCs w:val="22"/>
        </w:rPr>
        <w:t>two</w:t>
      </w:r>
      <w:r w:rsidRPr="00495094">
        <w:rPr>
          <w:rFonts w:ascii="Arial" w:hAnsi="Arial" w:cs="Arial"/>
          <w:sz w:val="22"/>
          <w:szCs w:val="22"/>
        </w:rPr>
        <w:t xml:space="preserve"> members of the Board, to oversee the implementation of risk management process that includes development of various risk strategies and principles, implementation of risk measurement tools, monitoring risk indicators and approval of risk limits.</w:t>
      </w:r>
    </w:p>
    <w:p w14:paraId="4062E6FF" w14:textId="77777777" w:rsidR="005F093E" w:rsidRPr="00495094" w:rsidRDefault="005F093E" w:rsidP="005F093E">
      <w:pPr>
        <w:ind w:left="709"/>
        <w:rPr>
          <w:rFonts w:ascii="Arial" w:hAnsi="Arial" w:cs="Arial"/>
          <w:sz w:val="22"/>
          <w:szCs w:val="22"/>
        </w:rPr>
      </w:pPr>
    </w:p>
    <w:p w14:paraId="3A3BDA1E" w14:textId="19DFC748" w:rsidR="005F093E" w:rsidRPr="00495094" w:rsidRDefault="00CC06FF" w:rsidP="00CC06FF">
      <w:pPr>
        <w:rPr>
          <w:rFonts w:ascii="Arial" w:hAnsi="Arial" w:cs="Arial"/>
          <w:sz w:val="22"/>
          <w:szCs w:val="22"/>
        </w:rPr>
      </w:pPr>
      <w:r w:rsidRPr="00495094">
        <w:rPr>
          <w:rFonts w:ascii="Arial" w:hAnsi="Arial" w:cs="Arial"/>
          <w:sz w:val="22"/>
          <w:szCs w:val="22"/>
        </w:rPr>
        <w:t xml:space="preserve">The </w:t>
      </w:r>
      <w:r w:rsidR="005D0D88" w:rsidRPr="00495094">
        <w:rPr>
          <w:rFonts w:ascii="Arial" w:hAnsi="Arial" w:cs="Arial"/>
          <w:sz w:val="22"/>
          <w:szCs w:val="22"/>
        </w:rPr>
        <w:t>P</w:t>
      </w:r>
      <w:r w:rsidRPr="00495094">
        <w:rPr>
          <w:rFonts w:ascii="Arial" w:hAnsi="Arial" w:cs="Arial"/>
          <w:sz w:val="22"/>
          <w:szCs w:val="22"/>
        </w:rPr>
        <w:t xml:space="preserve">arent </w:t>
      </w:r>
      <w:r w:rsidR="005D0D88" w:rsidRPr="00495094">
        <w:rPr>
          <w:rFonts w:ascii="Arial" w:hAnsi="Arial" w:cs="Arial"/>
          <w:sz w:val="22"/>
          <w:szCs w:val="22"/>
        </w:rPr>
        <w:t>B</w:t>
      </w:r>
      <w:r w:rsidRPr="00495094">
        <w:rPr>
          <w:rFonts w:ascii="Arial" w:hAnsi="Arial" w:cs="Arial"/>
          <w:sz w:val="22"/>
          <w:szCs w:val="22"/>
        </w:rPr>
        <w:t xml:space="preserve">ank’s Risk Management Group (RMG) under the group-wide structure supports the CGRMC in the identification, measurement, monitoring and control of risks.  As an independent unit reporting directly to the Board of </w:t>
      </w:r>
      <w:r w:rsidR="000D2B1D" w:rsidRPr="00495094">
        <w:rPr>
          <w:rFonts w:ascii="Arial" w:hAnsi="Arial" w:cs="Arial"/>
          <w:sz w:val="22"/>
          <w:szCs w:val="22"/>
        </w:rPr>
        <w:t>LBP</w:t>
      </w:r>
      <w:r w:rsidRPr="00495094">
        <w:rPr>
          <w:rFonts w:ascii="Arial" w:hAnsi="Arial" w:cs="Arial"/>
          <w:sz w:val="22"/>
          <w:szCs w:val="22"/>
        </w:rPr>
        <w:t xml:space="preserve">, the RMG consults with OFB’s business units through the Bank’s Central Point of Contact Unit (CPCU) in identifying, measuring, and implementing risk management methodologies </w:t>
      </w:r>
      <w:r w:rsidRPr="00495094">
        <w:rPr>
          <w:rFonts w:ascii="Arial" w:hAnsi="Arial" w:cs="Arial"/>
          <w:sz w:val="22"/>
          <w:szCs w:val="22"/>
        </w:rPr>
        <w:lastRenderedPageBreak/>
        <w:t>and controls. It assists business and operating units in measuring risk/return to better manage their risk profile.</w:t>
      </w:r>
    </w:p>
    <w:p w14:paraId="56A74173" w14:textId="77777777" w:rsidR="00CC06FF" w:rsidRPr="00495094" w:rsidRDefault="00CC06FF" w:rsidP="00CC06FF">
      <w:pPr>
        <w:rPr>
          <w:rFonts w:ascii="Arial" w:hAnsi="Arial" w:cs="Arial"/>
          <w:sz w:val="22"/>
          <w:szCs w:val="22"/>
        </w:rPr>
      </w:pPr>
    </w:p>
    <w:p w14:paraId="252B7EC0" w14:textId="34320BE6" w:rsidR="005F093E" w:rsidRPr="00495094" w:rsidRDefault="005F093E" w:rsidP="00F73445">
      <w:pPr>
        <w:rPr>
          <w:rFonts w:ascii="Arial" w:hAnsi="Arial" w:cs="Arial"/>
          <w:sz w:val="22"/>
          <w:szCs w:val="22"/>
        </w:rPr>
      </w:pPr>
      <w:r w:rsidRPr="00495094">
        <w:rPr>
          <w:rFonts w:ascii="Arial" w:hAnsi="Arial" w:cs="Arial"/>
          <w:bCs/>
          <w:sz w:val="22"/>
          <w:szCs w:val="22"/>
        </w:rPr>
        <w:t xml:space="preserve">Senior Management of OFB is also actively involved in the planning, reviewing and assessing different risks being managed by the Bank through the various committees. The Management Committee ensures that all business objectives are align with the risk tolerance set by the Board. </w:t>
      </w:r>
      <w:r w:rsidR="00CC06FF" w:rsidRPr="00495094">
        <w:rPr>
          <w:rFonts w:ascii="Arial" w:hAnsi="Arial" w:cs="Arial"/>
          <w:bCs/>
          <w:sz w:val="22"/>
          <w:szCs w:val="22"/>
        </w:rPr>
        <w:t xml:space="preserve">Due to the lean manpower of the Bank, its Management Committee functions as the Assets and Liabilities Committee (ALMC).   This Committee is responsible for ensuring that market and liquidity risks are adequately addressed on long-term and daily basis. </w:t>
      </w:r>
      <w:r w:rsidRPr="00495094">
        <w:rPr>
          <w:rFonts w:ascii="Arial" w:hAnsi="Arial" w:cs="Arial"/>
          <w:sz w:val="22"/>
          <w:szCs w:val="22"/>
        </w:rPr>
        <w:t xml:space="preserve"> </w:t>
      </w:r>
    </w:p>
    <w:p w14:paraId="7D4CF3CE" w14:textId="77777777" w:rsidR="00EA4391" w:rsidRPr="00495094" w:rsidRDefault="00EA4391" w:rsidP="00F73445">
      <w:pPr>
        <w:rPr>
          <w:rFonts w:ascii="Arial" w:hAnsi="Arial" w:cs="Arial"/>
          <w:sz w:val="22"/>
          <w:szCs w:val="22"/>
        </w:rPr>
      </w:pPr>
    </w:p>
    <w:p w14:paraId="1F0D8336" w14:textId="05C093B4" w:rsidR="00CC06FF" w:rsidRPr="00495094" w:rsidRDefault="00CC06FF" w:rsidP="00CC06FF">
      <w:pPr>
        <w:rPr>
          <w:rFonts w:ascii="Arial" w:hAnsi="Arial" w:cs="Arial"/>
          <w:sz w:val="22"/>
          <w:szCs w:val="22"/>
        </w:rPr>
      </w:pPr>
      <w:r w:rsidRPr="00495094">
        <w:rPr>
          <w:rFonts w:ascii="Arial" w:hAnsi="Arial" w:cs="Arial"/>
          <w:sz w:val="22"/>
          <w:szCs w:val="22"/>
        </w:rPr>
        <w:t xml:space="preserve">The </w:t>
      </w:r>
      <w:r w:rsidR="005D0D88" w:rsidRPr="00495094">
        <w:rPr>
          <w:rFonts w:ascii="Arial" w:hAnsi="Arial" w:cs="Arial"/>
          <w:sz w:val="22"/>
          <w:szCs w:val="22"/>
        </w:rPr>
        <w:t>P</w:t>
      </w:r>
      <w:r w:rsidRPr="00495094">
        <w:rPr>
          <w:rFonts w:ascii="Arial" w:hAnsi="Arial" w:cs="Arial"/>
          <w:sz w:val="22"/>
          <w:szCs w:val="22"/>
        </w:rPr>
        <w:t xml:space="preserve">arent </w:t>
      </w:r>
      <w:r w:rsidR="005D0D88" w:rsidRPr="00495094">
        <w:rPr>
          <w:rFonts w:ascii="Arial" w:hAnsi="Arial" w:cs="Arial"/>
          <w:sz w:val="22"/>
          <w:szCs w:val="22"/>
        </w:rPr>
        <w:t>B</w:t>
      </w:r>
      <w:r w:rsidRPr="00495094">
        <w:rPr>
          <w:rFonts w:ascii="Arial" w:hAnsi="Arial" w:cs="Arial"/>
          <w:sz w:val="22"/>
          <w:szCs w:val="22"/>
        </w:rPr>
        <w:t>ank’s Internal</w:t>
      </w:r>
      <w:r w:rsidRPr="00495094">
        <w:rPr>
          <w:rFonts w:ascii="Arial" w:hAnsi="Arial" w:cs="Arial"/>
          <w:i/>
          <w:sz w:val="22"/>
          <w:szCs w:val="22"/>
        </w:rPr>
        <w:t xml:space="preserve"> </w:t>
      </w:r>
      <w:r w:rsidRPr="00495094">
        <w:rPr>
          <w:rFonts w:ascii="Arial" w:hAnsi="Arial" w:cs="Arial"/>
          <w:sz w:val="22"/>
          <w:szCs w:val="22"/>
        </w:rPr>
        <w:t>Audit</w:t>
      </w:r>
      <w:r w:rsidRPr="00495094">
        <w:rPr>
          <w:rFonts w:ascii="Arial" w:hAnsi="Arial" w:cs="Arial"/>
          <w:i/>
          <w:sz w:val="22"/>
          <w:szCs w:val="22"/>
        </w:rPr>
        <w:t xml:space="preserve"> </w:t>
      </w:r>
      <w:r w:rsidRPr="00495094">
        <w:rPr>
          <w:rFonts w:ascii="Arial" w:hAnsi="Arial" w:cs="Arial"/>
          <w:sz w:val="22"/>
          <w:szCs w:val="22"/>
        </w:rPr>
        <w:t>Group (IAG) under the group-wide structure</w:t>
      </w:r>
      <w:r w:rsidRPr="00495094">
        <w:rPr>
          <w:rFonts w:ascii="Arial" w:hAnsi="Arial" w:cs="Arial"/>
          <w:i/>
          <w:sz w:val="22"/>
          <w:szCs w:val="22"/>
        </w:rPr>
        <w:t xml:space="preserve">, </w:t>
      </w:r>
      <w:r w:rsidRPr="00495094">
        <w:rPr>
          <w:rFonts w:ascii="Arial" w:hAnsi="Arial" w:cs="Arial"/>
          <w:sz w:val="22"/>
          <w:szCs w:val="22"/>
        </w:rPr>
        <w:t>provides another layer for independent check and balance to further strengthen risk controls and compliance. The IAG ensures that risk-takers comply with standards and established policies. It also evaluates the effectiveness and adequacy of the Bank’s risk management framework particularly on its control processes.</w:t>
      </w:r>
    </w:p>
    <w:p w14:paraId="345F1921" w14:textId="77777777" w:rsidR="00CC06FF" w:rsidRPr="00495094" w:rsidRDefault="00CC06FF" w:rsidP="00F73445">
      <w:pPr>
        <w:rPr>
          <w:rFonts w:ascii="Arial" w:hAnsi="Arial" w:cs="Arial"/>
          <w:sz w:val="22"/>
          <w:szCs w:val="22"/>
        </w:rPr>
      </w:pPr>
    </w:p>
    <w:p w14:paraId="2C07C116" w14:textId="23D0F757" w:rsidR="00CC06FF" w:rsidRPr="00495094" w:rsidRDefault="00CC06FF" w:rsidP="007A10F3">
      <w:pPr>
        <w:pStyle w:val="BodyText3"/>
        <w:tabs>
          <w:tab w:val="clear" w:pos="8550"/>
        </w:tabs>
        <w:rPr>
          <w:bCs w:val="0"/>
        </w:rPr>
      </w:pPr>
      <w:r w:rsidRPr="00495094">
        <w:rPr>
          <w:bCs w:val="0"/>
        </w:rPr>
        <w:t xml:space="preserve">The Bank outsources its Legal Office to its </w:t>
      </w:r>
      <w:r w:rsidR="005D0D88" w:rsidRPr="00495094">
        <w:rPr>
          <w:bCs w:val="0"/>
        </w:rPr>
        <w:t>P</w:t>
      </w:r>
      <w:r w:rsidRPr="00495094">
        <w:rPr>
          <w:bCs w:val="0"/>
        </w:rPr>
        <w:t xml:space="preserve">arent </w:t>
      </w:r>
      <w:r w:rsidR="005D0D88" w:rsidRPr="00495094">
        <w:rPr>
          <w:bCs w:val="0"/>
        </w:rPr>
        <w:t>B</w:t>
      </w:r>
      <w:r w:rsidRPr="00495094">
        <w:rPr>
          <w:bCs w:val="0"/>
        </w:rPr>
        <w:t>ank.  The unit responsible for this is the Legal Services Group of</w:t>
      </w:r>
      <w:r w:rsidR="00152DAF" w:rsidRPr="00495094">
        <w:rPr>
          <w:bCs w:val="0"/>
        </w:rPr>
        <w:t xml:space="preserve"> LBP</w:t>
      </w:r>
      <w:r w:rsidRPr="00495094">
        <w:rPr>
          <w:bCs w:val="0"/>
        </w:rPr>
        <w:t xml:space="preserve">. It has the primary responsibility of reviewing all Banks’ documents for completeness and enforceability under respective legal jurisdiction provided for the Service Level Agreement signed by the Bank.  </w:t>
      </w:r>
    </w:p>
    <w:p w14:paraId="5BE2AEFD" w14:textId="77777777" w:rsidR="00CC06FF" w:rsidRPr="00495094" w:rsidRDefault="00CC06FF" w:rsidP="00F73445">
      <w:pPr>
        <w:rPr>
          <w:rFonts w:ascii="Arial" w:hAnsi="Arial" w:cs="Arial"/>
          <w:sz w:val="22"/>
          <w:szCs w:val="22"/>
        </w:rPr>
      </w:pPr>
    </w:p>
    <w:p w14:paraId="6AC781CE" w14:textId="1B4617A7" w:rsidR="00CC06FF" w:rsidRPr="00495094" w:rsidRDefault="00CC06FF" w:rsidP="00CC06FF">
      <w:pPr>
        <w:rPr>
          <w:rFonts w:ascii="Arial" w:hAnsi="Arial" w:cs="Arial"/>
          <w:sz w:val="22"/>
          <w:szCs w:val="22"/>
        </w:rPr>
      </w:pPr>
      <w:r w:rsidRPr="00495094">
        <w:rPr>
          <w:rFonts w:ascii="Arial" w:hAnsi="Arial" w:cs="Arial"/>
          <w:sz w:val="22"/>
          <w:szCs w:val="22"/>
        </w:rPr>
        <w:t xml:space="preserve">The Credit Risk Management Department (CRMD) of the RMG reviews the Bank’s effective impairment to assure proper loan classification and setting up of valuation reserves.   </w:t>
      </w:r>
    </w:p>
    <w:p w14:paraId="02CBAEDB" w14:textId="77777777" w:rsidR="00CC06FF" w:rsidRPr="00495094" w:rsidRDefault="00CC06FF" w:rsidP="00CC06FF">
      <w:pPr>
        <w:rPr>
          <w:rFonts w:ascii="Arial" w:hAnsi="Arial" w:cs="Arial"/>
          <w:sz w:val="22"/>
          <w:szCs w:val="22"/>
        </w:rPr>
      </w:pPr>
    </w:p>
    <w:p w14:paraId="3F53E626" w14:textId="27724BDB" w:rsidR="00CC06FF" w:rsidRPr="00495094" w:rsidRDefault="00CC06FF" w:rsidP="00170272">
      <w:pPr>
        <w:pStyle w:val="BodyText3"/>
        <w:tabs>
          <w:tab w:val="clear" w:pos="8550"/>
        </w:tabs>
        <w:rPr>
          <w:bCs w:val="0"/>
        </w:rPr>
      </w:pPr>
      <w:r w:rsidRPr="00495094">
        <w:rPr>
          <w:bCs w:val="0"/>
        </w:rPr>
        <w:t>The Bank estimated a total of P</w:t>
      </w:r>
      <w:r w:rsidR="00465E97" w:rsidRPr="00495094">
        <w:rPr>
          <w:bCs w:val="0"/>
        </w:rPr>
        <w:t>9</w:t>
      </w:r>
      <w:r w:rsidR="006B78EF" w:rsidRPr="00495094">
        <w:rPr>
          <w:bCs w:val="0"/>
        </w:rPr>
        <w:t>.</w:t>
      </w:r>
      <w:r w:rsidR="00465E97" w:rsidRPr="00495094">
        <w:rPr>
          <w:bCs w:val="0"/>
        </w:rPr>
        <w:t>69</w:t>
      </w:r>
      <w:r w:rsidRPr="00495094">
        <w:rPr>
          <w:bCs w:val="0"/>
        </w:rPr>
        <w:t xml:space="preserve"> million additional credi</w:t>
      </w:r>
      <w:r w:rsidR="00ED0A96" w:rsidRPr="00495094">
        <w:rPr>
          <w:bCs w:val="0"/>
        </w:rPr>
        <w:t>t losses as of December 31, 2022</w:t>
      </w:r>
      <w:r w:rsidRPr="00495094">
        <w:rPr>
          <w:bCs w:val="0"/>
        </w:rPr>
        <w:t xml:space="preserve"> computed using Expected Credit Losses (ECL) Model of parent bank, LBP, with total booked allowance for credit losses of P</w:t>
      </w:r>
      <w:r w:rsidR="00465E97" w:rsidRPr="00495094">
        <w:rPr>
          <w:bCs w:val="0"/>
        </w:rPr>
        <w:t>11</w:t>
      </w:r>
      <w:r w:rsidRPr="00495094">
        <w:rPr>
          <w:bCs w:val="0"/>
        </w:rPr>
        <w:t>.</w:t>
      </w:r>
      <w:r w:rsidR="00465E97" w:rsidRPr="00495094">
        <w:rPr>
          <w:bCs w:val="0"/>
        </w:rPr>
        <w:t>79</w:t>
      </w:r>
      <w:r w:rsidRPr="00495094">
        <w:rPr>
          <w:bCs w:val="0"/>
        </w:rPr>
        <w:t xml:space="preserve"> million.  For the same period, the Bank’s Non-Performing Loan (NPL) stood at P</w:t>
      </w:r>
      <w:r w:rsidR="005D6329" w:rsidRPr="00495094">
        <w:rPr>
          <w:bCs w:val="0"/>
        </w:rPr>
        <w:t>11.25</w:t>
      </w:r>
      <w:r w:rsidRPr="00495094">
        <w:rPr>
          <w:bCs w:val="0"/>
        </w:rPr>
        <w:t xml:space="preserve"> million or </w:t>
      </w:r>
      <w:r w:rsidR="005D6329" w:rsidRPr="00495094">
        <w:rPr>
          <w:bCs w:val="0"/>
        </w:rPr>
        <w:t>0.6</w:t>
      </w:r>
      <w:r w:rsidRPr="00495094">
        <w:rPr>
          <w:bCs w:val="0"/>
        </w:rPr>
        <w:t xml:space="preserve"> per cent of the total loan portfolio.     </w:t>
      </w:r>
    </w:p>
    <w:p w14:paraId="09F38CBD" w14:textId="77777777" w:rsidR="00670513" w:rsidRPr="00495094" w:rsidRDefault="00670513" w:rsidP="00CC06FF">
      <w:pPr>
        <w:rPr>
          <w:rFonts w:ascii="Arial" w:hAnsi="Arial" w:cs="Arial"/>
          <w:sz w:val="22"/>
          <w:szCs w:val="22"/>
        </w:rPr>
      </w:pPr>
    </w:p>
    <w:p w14:paraId="118295E2" w14:textId="77777777" w:rsidR="00986EAF" w:rsidRPr="00495094" w:rsidRDefault="00986EAF" w:rsidP="00986EAF">
      <w:pPr>
        <w:rPr>
          <w:rFonts w:ascii="Arial" w:hAnsi="Arial" w:cs="Arial"/>
          <w:i/>
          <w:iCs/>
          <w:sz w:val="22"/>
          <w:szCs w:val="22"/>
        </w:rPr>
      </w:pPr>
      <w:r w:rsidRPr="00495094">
        <w:rPr>
          <w:rFonts w:ascii="Arial" w:hAnsi="Arial" w:cs="Arial"/>
          <w:i/>
          <w:iCs/>
          <w:sz w:val="22"/>
          <w:szCs w:val="22"/>
        </w:rPr>
        <w:t>Credit Risk Rating</w:t>
      </w:r>
    </w:p>
    <w:p w14:paraId="59BCB5B9" w14:textId="77777777" w:rsidR="00986EAF" w:rsidRPr="00495094" w:rsidRDefault="00986EAF" w:rsidP="00986EAF">
      <w:pPr>
        <w:rPr>
          <w:rFonts w:ascii="Arial" w:hAnsi="Arial" w:cs="Arial"/>
          <w:sz w:val="22"/>
          <w:szCs w:val="22"/>
        </w:rPr>
      </w:pPr>
    </w:p>
    <w:p w14:paraId="37946402" w14:textId="7022EE5D" w:rsidR="00986EAF" w:rsidRPr="00495094" w:rsidRDefault="00986EAF" w:rsidP="00986EAF">
      <w:pPr>
        <w:rPr>
          <w:rFonts w:ascii="Arial" w:hAnsi="Arial" w:cs="Arial"/>
          <w:sz w:val="22"/>
          <w:szCs w:val="22"/>
        </w:rPr>
      </w:pPr>
      <w:r w:rsidRPr="00495094">
        <w:rPr>
          <w:rFonts w:ascii="Arial" w:hAnsi="Arial" w:cs="Arial"/>
          <w:sz w:val="22"/>
          <w:szCs w:val="22"/>
        </w:rPr>
        <w:t xml:space="preserve">The Bank adopts the industry-specific and borrower-specific credit risk scorings with consideration on Single Borrower’s Limit (SBL) rule. </w:t>
      </w:r>
    </w:p>
    <w:p w14:paraId="52CD667C" w14:textId="77777777" w:rsidR="00986EAF" w:rsidRPr="00495094" w:rsidRDefault="00986EAF" w:rsidP="00986EAF">
      <w:pPr>
        <w:rPr>
          <w:rFonts w:ascii="Arial" w:hAnsi="Arial" w:cs="Arial"/>
          <w:sz w:val="22"/>
          <w:szCs w:val="22"/>
        </w:rPr>
      </w:pPr>
    </w:p>
    <w:p w14:paraId="2CE18102" w14:textId="77777777" w:rsidR="00986EAF" w:rsidRPr="00495094" w:rsidRDefault="00986EAF" w:rsidP="00986EAF">
      <w:pPr>
        <w:rPr>
          <w:rFonts w:ascii="Arial" w:hAnsi="Arial" w:cs="Arial"/>
          <w:sz w:val="22"/>
          <w:szCs w:val="22"/>
        </w:rPr>
      </w:pPr>
      <w:r w:rsidRPr="00495094">
        <w:rPr>
          <w:rFonts w:ascii="Arial" w:hAnsi="Arial" w:cs="Arial"/>
          <w:sz w:val="22"/>
          <w:szCs w:val="22"/>
        </w:rPr>
        <w:t xml:space="preserve">In addition, the Bank shall also continue to use the expert-based credit rating system for banks and financial institutions.  </w:t>
      </w:r>
    </w:p>
    <w:p w14:paraId="621EFB06" w14:textId="77777777" w:rsidR="00986EAF" w:rsidRPr="00495094" w:rsidRDefault="00986EAF" w:rsidP="00986EAF">
      <w:pPr>
        <w:pStyle w:val="NormalWeb"/>
        <w:spacing w:before="0" w:beforeAutospacing="0" w:after="0" w:afterAutospacing="0"/>
        <w:jc w:val="both"/>
        <w:rPr>
          <w:rFonts w:ascii="Arial" w:hAnsi="Arial" w:cs="Arial"/>
          <w:b/>
          <w:bCs/>
          <w:sz w:val="22"/>
          <w:szCs w:val="22"/>
        </w:rPr>
      </w:pPr>
    </w:p>
    <w:p w14:paraId="5990F217" w14:textId="77777777" w:rsidR="00986EAF" w:rsidRPr="00495094" w:rsidRDefault="00986EAF" w:rsidP="00986EAF">
      <w:pPr>
        <w:rPr>
          <w:rFonts w:ascii="Arial" w:hAnsi="Arial" w:cs="Arial"/>
          <w:i/>
          <w:iCs/>
          <w:sz w:val="22"/>
          <w:szCs w:val="22"/>
        </w:rPr>
      </w:pPr>
      <w:r w:rsidRPr="00495094">
        <w:rPr>
          <w:rFonts w:ascii="Arial" w:hAnsi="Arial" w:cs="Arial"/>
          <w:i/>
          <w:iCs/>
          <w:sz w:val="22"/>
          <w:szCs w:val="22"/>
        </w:rPr>
        <w:t>Credit Risk Monitoring</w:t>
      </w:r>
    </w:p>
    <w:p w14:paraId="28A43F30" w14:textId="77777777" w:rsidR="00986EAF" w:rsidRPr="00495094" w:rsidRDefault="00986EAF" w:rsidP="00986EAF">
      <w:pPr>
        <w:pStyle w:val="NormalWeb"/>
        <w:spacing w:before="0" w:beforeAutospacing="0" w:after="0" w:afterAutospacing="0"/>
        <w:jc w:val="both"/>
        <w:rPr>
          <w:rFonts w:ascii="Arial" w:hAnsi="Arial" w:cs="Arial"/>
          <w:sz w:val="22"/>
          <w:szCs w:val="22"/>
        </w:rPr>
      </w:pPr>
    </w:p>
    <w:p w14:paraId="54AE200A" w14:textId="05AE365F" w:rsidR="008C77A3" w:rsidRPr="00495094" w:rsidRDefault="008C77A3" w:rsidP="008C77A3">
      <w:pPr>
        <w:rPr>
          <w:rFonts w:ascii="Arial" w:hAnsi="Arial" w:cs="Arial"/>
          <w:sz w:val="22"/>
          <w:szCs w:val="22"/>
        </w:rPr>
      </w:pPr>
      <w:r w:rsidRPr="00495094">
        <w:rPr>
          <w:rFonts w:ascii="Arial" w:hAnsi="Arial" w:cs="Arial"/>
          <w:sz w:val="22"/>
          <w:szCs w:val="22"/>
        </w:rPr>
        <w:t xml:space="preserve">The Bank has continuously adopted a formal reporting system for the </w:t>
      </w:r>
      <w:r w:rsidR="00E03E63" w:rsidRPr="00495094">
        <w:rPr>
          <w:rFonts w:ascii="Arial" w:hAnsi="Arial" w:cs="Arial"/>
          <w:sz w:val="22"/>
          <w:szCs w:val="22"/>
        </w:rPr>
        <w:t>BOD</w:t>
      </w:r>
      <w:r w:rsidRPr="00495094">
        <w:rPr>
          <w:rFonts w:ascii="Arial" w:hAnsi="Arial" w:cs="Arial"/>
          <w:sz w:val="22"/>
          <w:szCs w:val="22"/>
        </w:rPr>
        <w:t xml:space="preserve"> and Senior Management to be able to monitor the credit quality of individual and loan portfolio using asset quality indicators such as past due ratio, NPL ratio, level of non-performing assets, coverage ratio and concentration risk. Large exposures, breaches in regulatory and internal limits, potential credit risk, Directors, Officers, Stockholder and their Related Interests loans, Related Party Transactions and compliance with Real Estate Stress Test (REST) are intensively monitored by the CGRMC. The recovery of written-off accounts is also within the radar of the OFB Board, CGRMC and Management.</w:t>
      </w:r>
    </w:p>
    <w:p w14:paraId="16E27B12" w14:textId="77777777" w:rsidR="00EA4391" w:rsidRPr="00495094" w:rsidRDefault="00EA4391" w:rsidP="008C77A3">
      <w:pPr>
        <w:rPr>
          <w:rFonts w:ascii="Arial" w:hAnsi="Arial" w:cs="Arial"/>
          <w:sz w:val="22"/>
          <w:szCs w:val="22"/>
        </w:rPr>
      </w:pPr>
    </w:p>
    <w:p w14:paraId="0B6DC955" w14:textId="77777777" w:rsidR="00807C5B" w:rsidRPr="00495094" w:rsidRDefault="00807C5B" w:rsidP="008C77A3">
      <w:pPr>
        <w:rPr>
          <w:rFonts w:ascii="Arial" w:hAnsi="Arial" w:cs="Arial"/>
          <w:sz w:val="22"/>
          <w:szCs w:val="22"/>
        </w:rPr>
      </w:pPr>
    </w:p>
    <w:p w14:paraId="0DD1762F" w14:textId="77777777" w:rsidR="00807C5B" w:rsidRPr="00495094" w:rsidRDefault="00807C5B" w:rsidP="008C77A3">
      <w:pPr>
        <w:rPr>
          <w:rFonts w:ascii="Arial" w:hAnsi="Arial" w:cs="Arial"/>
          <w:sz w:val="22"/>
          <w:szCs w:val="22"/>
        </w:rPr>
      </w:pPr>
    </w:p>
    <w:p w14:paraId="37AF944F" w14:textId="77777777" w:rsidR="00807C5B" w:rsidRPr="00495094" w:rsidRDefault="00807C5B" w:rsidP="008C77A3">
      <w:pPr>
        <w:rPr>
          <w:rFonts w:ascii="Arial" w:hAnsi="Arial" w:cs="Arial"/>
          <w:sz w:val="22"/>
          <w:szCs w:val="22"/>
        </w:rPr>
      </w:pPr>
    </w:p>
    <w:p w14:paraId="7CDF31BC" w14:textId="77777777" w:rsidR="008C77A3" w:rsidRPr="00495094" w:rsidRDefault="008C77A3" w:rsidP="008C77A3">
      <w:pPr>
        <w:rPr>
          <w:rFonts w:ascii="Arial" w:hAnsi="Arial" w:cs="Arial"/>
          <w:sz w:val="22"/>
          <w:szCs w:val="22"/>
        </w:rPr>
      </w:pPr>
      <w:r w:rsidRPr="00495094">
        <w:rPr>
          <w:rFonts w:ascii="Arial" w:hAnsi="Arial" w:cs="Arial"/>
          <w:sz w:val="22"/>
          <w:szCs w:val="22"/>
        </w:rPr>
        <w:lastRenderedPageBreak/>
        <w:t xml:space="preserve">ECL assessment shall be applied to the following exposures: </w:t>
      </w:r>
    </w:p>
    <w:p w14:paraId="39610D3E" w14:textId="77777777" w:rsidR="008C77A3" w:rsidRPr="00495094" w:rsidRDefault="008C77A3" w:rsidP="008C77A3">
      <w:pPr>
        <w:rPr>
          <w:rFonts w:ascii="Arial" w:hAnsi="Arial" w:cs="Arial"/>
          <w:sz w:val="22"/>
          <w:szCs w:val="22"/>
        </w:rPr>
      </w:pPr>
    </w:p>
    <w:p w14:paraId="1983F887" w14:textId="77777777" w:rsidR="008C77A3" w:rsidRPr="00495094" w:rsidRDefault="008C77A3" w:rsidP="008C77A3">
      <w:pPr>
        <w:tabs>
          <w:tab w:val="left" w:pos="709"/>
        </w:tabs>
        <w:rPr>
          <w:rFonts w:ascii="Arial" w:hAnsi="Arial" w:cs="Arial"/>
          <w:sz w:val="22"/>
          <w:szCs w:val="22"/>
        </w:rPr>
      </w:pPr>
      <w:r w:rsidRPr="00495094">
        <w:rPr>
          <w:rFonts w:ascii="Arial" w:hAnsi="Arial" w:cs="Arial"/>
          <w:sz w:val="22"/>
          <w:szCs w:val="22"/>
        </w:rPr>
        <w:t>1.</w:t>
      </w:r>
      <w:r w:rsidRPr="00495094">
        <w:rPr>
          <w:rFonts w:ascii="Arial" w:hAnsi="Arial" w:cs="Arial"/>
          <w:sz w:val="22"/>
          <w:szCs w:val="22"/>
        </w:rPr>
        <w:tab/>
        <w:t xml:space="preserve">Loans and receivables measured at amortized cost; </w:t>
      </w:r>
    </w:p>
    <w:p w14:paraId="76E21700" w14:textId="77777777" w:rsidR="008C77A3" w:rsidRPr="00495094" w:rsidRDefault="008C77A3" w:rsidP="008C77A3">
      <w:pPr>
        <w:rPr>
          <w:rFonts w:ascii="Arial" w:hAnsi="Arial" w:cs="Arial"/>
          <w:sz w:val="22"/>
          <w:szCs w:val="22"/>
        </w:rPr>
      </w:pPr>
      <w:r w:rsidRPr="00495094">
        <w:rPr>
          <w:rFonts w:ascii="Arial" w:hAnsi="Arial" w:cs="Arial"/>
          <w:sz w:val="22"/>
          <w:szCs w:val="22"/>
        </w:rPr>
        <w:t>2.</w:t>
      </w:r>
      <w:r w:rsidRPr="00495094">
        <w:rPr>
          <w:rFonts w:ascii="Arial" w:hAnsi="Arial" w:cs="Arial"/>
          <w:sz w:val="22"/>
          <w:szCs w:val="22"/>
        </w:rPr>
        <w:tab/>
        <w:t xml:space="preserve">Investments in debt instruments that are measured at amortized cost; </w:t>
      </w:r>
    </w:p>
    <w:p w14:paraId="46D9DC65" w14:textId="611CE19E" w:rsidR="008C77A3" w:rsidRPr="00495094" w:rsidRDefault="008C77A3" w:rsidP="008C77A3">
      <w:pPr>
        <w:ind w:left="709" w:hanging="709"/>
        <w:rPr>
          <w:rFonts w:ascii="Arial" w:hAnsi="Arial" w:cs="Arial"/>
          <w:sz w:val="22"/>
          <w:szCs w:val="22"/>
        </w:rPr>
      </w:pPr>
      <w:r w:rsidRPr="00495094">
        <w:rPr>
          <w:rFonts w:ascii="Arial" w:hAnsi="Arial" w:cs="Arial"/>
          <w:sz w:val="22"/>
          <w:szCs w:val="22"/>
        </w:rPr>
        <w:t>3.</w:t>
      </w:r>
      <w:r w:rsidRPr="00495094">
        <w:rPr>
          <w:rFonts w:ascii="Arial" w:hAnsi="Arial" w:cs="Arial"/>
          <w:sz w:val="22"/>
          <w:szCs w:val="22"/>
        </w:rPr>
        <w:tab/>
        <w:t xml:space="preserve">Investments in debt instruments that are measured at FVOCI; </w:t>
      </w:r>
      <w:r w:rsidR="005F110C" w:rsidRPr="00495094">
        <w:rPr>
          <w:rFonts w:ascii="Arial" w:hAnsi="Arial" w:cs="Arial"/>
          <w:sz w:val="22"/>
          <w:szCs w:val="22"/>
        </w:rPr>
        <w:t>and</w:t>
      </w:r>
    </w:p>
    <w:p w14:paraId="1515A704" w14:textId="2EE8F08D" w:rsidR="00986EAF" w:rsidRPr="00495094" w:rsidRDefault="008C77A3" w:rsidP="00170272">
      <w:pPr>
        <w:pStyle w:val="ListParagraph"/>
        <w:tabs>
          <w:tab w:val="clear" w:pos="1526"/>
        </w:tabs>
      </w:pPr>
      <w:r w:rsidRPr="00495094">
        <w:t>4.</w:t>
      </w:r>
      <w:r w:rsidRPr="00495094">
        <w:tab/>
        <w:t>Due from Bangko Sentral ng Pilipinas and Due from Other Banks</w:t>
      </w:r>
    </w:p>
    <w:p w14:paraId="5C89D374" w14:textId="77777777" w:rsidR="00134EE8" w:rsidRPr="00495094" w:rsidRDefault="00134EE8" w:rsidP="00986EAF">
      <w:pPr>
        <w:rPr>
          <w:rFonts w:ascii="Arial" w:hAnsi="Arial" w:cs="Arial"/>
          <w:sz w:val="22"/>
          <w:szCs w:val="22"/>
        </w:rPr>
      </w:pPr>
    </w:p>
    <w:p w14:paraId="7AB4F2E8" w14:textId="77777777" w:rsidR="00986EAF" w:rsidRPr="00495094" w:rsidRDefault="00986EAF" w:rsidP="00986EAF">
      <w:pPr>
        <w:rPr>
          <w:rFonts w:ascii="Arial" w:hAnsi="Arial" w:cs="Arial"/>
          <w:sz w:val="22"/>
          <w:szCs w:val="22"/>
        </w:rPr>
      </w:pPr>
      <w:r w:rsidRPr="00495094">
        <w:rPr>
          <w:rFonts w:ascii="Arial" w:hAnsi="Arial" w:cs="Arial"/>
          <w:sz w:val="22"/>
          <w:szCs w:val="22"/>
        </w:rPr>
        <w:t>Credit exposures follow the staging assessment:</w:t>
      </w:r>
    </w:p>
    <w:p w14:paraId="0AD79FCD" w14:textId="77777777" w:rsidR="00986EAF" w:rsidRPr="00495094" w:rsidRDefault="00986EAF" w:rsidP="00986EAF">
      <w:pPr>
        <w:rPr>
          <w:rFonts w:ascii="Arial" w:hAnsi="Arial" w:cs="Arial"/>
          <w:i/>
          <w:sz w:val="22"/>
          <w:szCs w:val="22"/>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850"/>
        <w:gridCol w:w="6183"/>
      </w:tblGrid>
      <w:tr w:rsidR="00495094" w:rsidRPr="00495094" w14:paraId="2554B27D" w14:textId="77777777" w:rsidTr="007A10F3">
        <w:trPr>
          <w:trHeight w:val="367"/>
          <w:tblHeader/>
        </w:trPr>
        <w:tc>
          <w:tcPr>
            <w:tcW w:w="1331" w:type="dxa"/>
            <w:tcBorders>
              <w:top w:val="single" w:sz="4" w:space="0" w:color="auto"/>
              <w:bottom w:val="single" w:sz="4" w:space="0" w:color="auto"/>
            </w:tcBorders>
            <w:vAlign w:val="center"/>
          </w:tcPr>
          <w:p w14:paraId="2EA40FA0" w14:textId="77777777" w:rsidR="008C77A3" w:rsidRPr="00495094" w:rsidRDefault="008C77A3" w:rsidP="00374DA5">
            <w:pPr>
              <w:jc w:val="center"/>
              <w:rPr>
                <w:rFonts w:ascii="Arial" w:hAnsi="Arial" w:cs="Arial"/>
                <w:b/>
                <w:bCs/>
                <w:sz w:val="18"/>
                <w:szCs w:val="22"/>
              </w:rPr>
            </w:pPr>
            <w:r w:rsidRPr="00495094">
              <w:rPr>
                <w:rFonts w:ascii="Arial" w:hAnsi="Arial" w:cs="Arial"/>
                <w:b/>
                <w:bCs/>
                <w:sz w:val="18"/>
                <w:szCs w:val="22"/>
              </w:rPr>
              <w:t>Factor</w:t>
            </w:r>
          </w:p>
        </w:tc>
        <w:tc>
          <w:tcPr>
            <w:tcW w:w="850" w:type="dxa"/>
            <w:tcBorders>
              <w:top w:val="single" w:sz="4" w:space="0" w:color="auto"/>
              <w:bottom w:val="single" w:sz="4" w:space="0" w:color="auto"/>
            </w:tcBorders>
            <w:vAlign w:val="center"/>
          </w:tcPr>
          <w:p w14:paraId="66F834AE" w14:textId="77777777" w:rsidR="008C77A3" w:rsidRPr="00495094" w:rsidRDefault="008C77A3" w:rsidP="00374DA5">
            <w:pPr>
              <w:jc w:val="center"/>
              <w:rPr>
                <w:rFonts w:ascii="Arial" w:hAnsi="Arial" w:cs="Arial"/>
                <w:b/>
                <w:bCs/>
                <w:sz w:val="18"/>
                <w:szCs w:val="22"/>
              </w:rPr>
            </w:pPr>
            <w:r w:rsidRPr="00495094">
              <w:rPr>
                <w:rFonts w:ascii="Arial" w:hAnsi="Arial" w:cs="Arial"/>
                <w:b/>
                <w:bCs/>
                <w:sz w:val="18"/>
                <w:szCs w:val="22"/>
              </w:rPr>
              <w:t>Stage</w:t>
            </w:r>
          </w:p>
        </w:tc>
        <w:tc>
          <w:tcPr>
            <w:tcW w:w="6183" w:type="dxa"/>
            <w:tcBorders>
              <w:top w:val="single" w:sz="4" w:space="0" w:color="auto"/>
              <w:bottom w:val="single" w:sz="4" w:space="0" w:color="auto"/>
            </w:tcBorders>
            <w:vAlign w:val="center"/>
          </w:tcPr>
          <w:p w14:paraId="5B09E2F5" w14:textId="77777777" w:rsidR="008C77A3" w:rsidRPr="00495094" w:rsidRDefault="008C77A3" w:rsidP="00374DA5">
            <w:pPr>
              <w:jc w:val="center"/>
              <w:rPr>
                <w:rFonts w:ascii="Arial" w:hAnsi="Arial" w:cs="Arial"/>
                <w:b/>
                <w:bCs/>
                <w:sz w:val="18"/>
                <w:szCs w:val="22"/>
              </w:rPr>
            </w:pPr>
            <w:r w:rsidRPr="00495094">
              <w:rPr>
                <w:rFonts w:ascii="Arial" w:hAnsi="Arial" w:cs="Arial"/>
                <w:b/>
                <w:bCs/>
                <w:sz w:val="18"/>
                <w:szCs w:val="22"/>
              </w:rPr>
              <w:t>Criteria</w:t>
            </w:r>
          </w:p>
        </w:tc>
      </w:tr>
      <w:tr w:rsidR="00495094" w:rsidRPr="00495094" w14:paraId="69C36781" w14:textId="77777777" w:rsidTr="007A10F3">
        <w:tc>
          <w:tcPr>
            <w:tcW w:w="1331" w:type="dxa"/>
            <w:vMerge w:val="restart"/>
            <w:tcBorders>
              <w:top w:val="single" w:sz="4" w:space="0" w:color="auto"/>
            </w:tcBorders>
          </w:tcPr>
          <w:p w14:paraId="3D5024F3" w14:textId="77777777" w:rsidR="008C77A3" w:rsidRPr="00495094" w:rsidRDefault="008C77A3" w:rsidP="00374DA5">
            <w:pPr>
              <w:rPr>
                <w:rFonts w:ascii="Arial" w:hAnsi="Arial" w:cs="Arial"/>
                <w:sz w:val="18"/>
                <w:szCs w:val="22"/>
              </w:rPr>
            </w:pPr>
            <w:r w:rsidRPr="00495094">
              <w:rPr>
                <w:rFonts w:ascii="Arial" w:hAnsi="Arial" w:cs="Arial"/>
                <w:sz w:val="18"/>
                <w:szCs w:val="22"/>
              </w:rPr>
              <w:t>Age</w:t>
            </w:r>
          </w:p>
        </w:tc>
        <w:tc>
          <w:tcPr>
            <w:tcW w:w="850" w:type="dxa"/>
            <w:tcBorders>
              <w:top w:val="single" w:sz="4" w:space="0" w:color="auto"/>
            </w:tcBorders>
          </w:tcPr>
          <w:p w14:paraId="46A65951" w14:textId="77777777" w:rsidR="008C77A3" w:rsidRPr="00495094" w:rsidRDefault="008C77A3" w:rsidP="00374DA5">
            <w:pPr>
              <w:rPr>
                <w:rFonts w:ascii="Arial" w:hAnsi="Arial" w:cs="Arial"/>
                <w:sz w:val="18"/>
                <w:szCs w:val="22"/>
              </w:rPr>
            </w:pPr>
            <w:r w:rsidRPr="00495094">
              <w:rPr>
                <w:rFonts w:ascii="Arial" w:hAnsi="Arial" w:cs="Arial"/>
                <w:sz w:val="18"/>
                <w:szCs w:val="22"/>
              </w:rPr>
              <w:t>Stage 1</w:t>
            </w:r>
          </w:p>
        </w:tc>
        <w:tc>
          <w:tcPr>
            <w:tcW w:w="6183" w:type="dxa"/>
            <w:tcBorders>
              <w:top w:val="single" w:sz="4" w:space="0" w:color="auto"/>
            </w:tcBorders>
          </w:tcPr>
          <w:p w14:paraId="76BD4680"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Current</w:t>
            </w:r>
          </w:p>
          <w:p w14:paraId="564680AE" w14:textId="3C60301A"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One to 30 days past due</w:t>
            </w:r>
          </w:p>
        </w:tc>
      </w:tr>
      <w:tr w:rsidR="00495094" w:rsidRPr="00495094" w14:paraId="0F625002" w14:textId="77777777" w:rsidTr="007A10F3">
        <w:tc>
          <w:tcPr>
            <w:tcW w:w="1331" w:type="dxa"/>
            <w:vMerge/>
          </w:tcPr>
          <w:p w14:paraId="0866A6F8" w14:textId="77777777" w:rsidR="008C77A3" w:rsidRPr="00495094" w:rsidRDefault="008C77A3" w:rsidP="00374DA5">
            <w:pPr>
              <w:rPr>
                <w:rFonts w:ascii="Arial" w:hAnsi="Arial" w:cs="Arial"/>
                <w:sz w:val="18"/>
                <w:szCs w:val="22"/>
              </w:rPr>
            </w:pPr>
          </w:p>
        </w:tc>
        <w:tc>
          <w:tcPr>
            <w:tcW w:w="850" w:type="dxa"/>
          </w:tcPr>
          <w:p w14:paraId="6520292B" w14:textId="77777777" w:rsidR="008C77A3" w:rsidRPr="00495094" w:rsidRDefault="008C77A3" w:rsidP="00374DA5">
            <w:pPr>
              <w:rPr>
                <w:rFonts w:ascii="Arial" w:hAnsi="Arial" w:cs="Arial"/>
                <w:sz w:val="18"/>
                <w:szCs w:val="22"/>
              </w:rPr>
            </w:pPr>
            <w:r w:rsidRPr="00495094">
              <w:rPr>
                <w:rFonts w:ascii="Arial" w:hAnsi="Arial" w:cs="Arial"/>
                <w:sz w:val="18"/>
                <w:szCs w:val="22"/>
              </w:rPr>
              <w:t>Stage 2</w:t>
            </w:r>
          </w:p>
        </w:tc>
        <w:tc>
          <w:tcPr>
            <w:tcW w:w="6183" w:type="dxa"/>
          </w:tcPr>
          <w:p w14:paraId="1DD855DA" w14:textId="2A45C85B" w:rsidR="008C77A3" w:rsidRPr="00495094" w:rsidRDefault="008C77A3" w:rsidP="00374DA5">
            <w:pPr>
              <w:rPr>
                <w:rFonts w:ascii="Arial" w:hAnsi="Arial" w:cs="Arial"/>
                <w:sz w:val="18"/>
                <w:szCs w:val="22"/>
              </w:rPr>
            </w:pPr>
            <w:r w:rsidRPr="00495094">
              <w:rPr>
                <w:rFonts w:ascii="Arial" w:hAnsi="Arial" w:cs="Arial"/>
                <w:sz w:val="18"/>
                <w:szCs w:val="22"/>
              </w:rPr>
              <w:t xml:space="preserve">       31 to 90 days past due</w:t>
            </w:r>
          </w:p>
        </w:tc>
      </w:tr>
      <w:tr w:rsidR="00495094" w:rsidRPr="00495094" w14:paraId="5C1030D7" w14:textId="77777777" w:rsidTr="007A10F3">
        <w:tc>
          <w:tcPr>
            <w:tcW w:w="1331" w:type="dxa"/>
            <w:vMerge/>
            <w:tcBorders>
              <w:bottom w:val="single" w:sz="4" w:space="0" w:color="auto"/>
            </w:tcBorders>
          </w:tcPr>
          <w:p w14:paraId="49A41EF7" w14:textId="77777777" w:rsidR="008C77A3" w:rsidRPr="00495094" w:rsidRDefault="008C77A3" w:rsidP="00374DA5">
            <w:pPr>
              <w:rPr>
                <w:rFonts w:ascii="Arial" w:hAnsi="Arial" w:cs="Arial"/>
                <w:sz w:val="18"/>
                <w:szCs w:val="22"/>
              </w:rPr>
            </w:pPr>
          </w:p>
        </w:tc>
        <w:tc>
          <w:tcPr>
            <w:tcW w:w="850" w:type="dxa"/>
            <w:tcBorders>
              <w:bottom w:val="single" w:sz="4" w:space="0" w:color="auto"/>
            </w:tcBorders>
          </w:tcPr>
          <w:p w14:paraId="3844B316" w14:textId="77777777" w:rsidR="008C77A3" w:rsidRPr="00495094" w:rsidRDefault="008C77A3" w:rsidP="00374DA5">
            <w:pPr>
              <w:rPr>
                <w:rFonts w:ascii="Arial" w:hAnsi="Arial" w:cs="Arial"/>
                <w:sz w:val="18"/>
                <w:szCs w:val="22"/>
              </w:rPr>
            </w:pPr>
            <w:r w:rsidRPr="00495094">
              <w:rPr>
                <w:rFonts w:ascii="Arial" w:hAnsi="Arial" w:cs="Arial"/>
                <w:sz w:val="18"/>
                <w:szCs w:val="22"/>
              </w:rPr>
              <w:t>Stage 3</w:t>
            </w:r>
          </w:p>
        </w:tc>
        <w:tc>
          <w:tcPr>
            <w:tcW w:w="6183" w:type="dxa"/>
            <w:tcBorders>
              <w:bottom w:val="single" w:sz="4" w:space="0" w:color="auto"/>
            </w:tcBorders>
          </w:tcPr>
          <w:p w14:paraId="3E97262A" w14:textId="2E3F9902"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More than 90 days past due (monthly installments)</w:t>
            </w:r>
          </w:p>
          <w:p w14:paraId="479FE490" w14:textId="1F2C88EE"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More than 30 days past due (lump sum payment, and quarterly, semi-annual and annual installments)</w:t>
            </w:r>
          </w:p>
        </w:tc>
      </w:tr>
      <w:tr w:rsidR="00495094" w:rsidRPr="00495094" w14:paraId="597B6B0A" w14:textId="77777777" w:rsidTr="007A10F3">
        <w:tc>
          <w:tcPr>
            <w:tcW w:w="1331" w:type="dxa"/>
            <w:vMerge w:val="restart"/>
            <w:tcBorders>
              <w:top w:val="single" w:sz="4" w:space="0" w:color="auto"/>
            </w:tcBorders>
          </w:tcPr>
          <w:p w14:paraId="742EA1B6" w14:textId="77777777" w:rsidR="008C77A3" w:rsidRPr="00495094" w:rsidRDefault="008C77A3" w:rsidP="00374DA5">
            <w:pPr>
              <w:rPr>
                <w:rFonts w:ascii="Arial" w:hAnsi="Arial" w:cs="Arial"/>
                <w:sz w:val="18"/>
                <w:szCs w:val="22"/>
              </w:rPr>
            </w:pPr>
            <w:r w:rsidRPr="00495094">
              <w:rPr>
                <w:rFonts w:ascii="Arial" w:hAnsi="Arial" w:cs="Arial"/>
                <w:sz w:val="18"/>
                <w:szCs w:val="22"/>
              </w:rPr>
              <w:t>Observable Impairment Indicators</w:t>
            </w:r>
          </w:p>
        </w:tc>
        <w:tc>
          <w:tcPr>
            <w:tcW w:w="850" w:type="dxa"/>
            <w:tcBorders>
              <w:top w:val="single" w:sz="4" w:space="0" w:color="auto"/>
            </w:tcBorders>
          </w:tcPr>
          <w:p w14:paraId="3BFEBBC1" w14:textId="77777777" w:rsidR="008C77A3" w:rsidRPr="00495094" w:rsidRDefault="008C77A3" w:rsidP="00374DA5">
            <w:pPr>
              <w:rPr>
                <w:rFonts w:ascii="Arial" w:hAnsi="Arial" w:cs="Arial"/>
                <w:sz w:val="18"/>
                <w:szCs w:val="22"/>
              </w:rPr>
            </w:pPr>
            <w:r w:rsidRPr="00495094">
              <w:rPr>
                <w:rFonts w:ascii="Arial" w:hAnsi="Arial" w:cs="Arial"/>
                <w:sz w:val="18"/>
                <w:szCs w:val="22"/>
              </w:rPr>
              <w:t>Stage 1</w:t>
            </w:r>
          </w:p>
        </w:tc>
        <w:tc>
          <w:tcPr>
            <w:tcW w:w="6183" w:type="dxa"/>
            <w:tcBorders>
              <w:top w:val="single" w:sz="4" w:space="0" w:color="auto"/>
            </w:tcBorders>
          </w:tcPr>
          <w:p w14:paraId="36759FAC" w14:textId="77777777" w:rsidR="008C77A3" w:rsidRPr="00495094" w:rsidRDefault="008C77A3" w:rsidP="00374DA5">
            <w:pPr>
              <w:rPr>
                <w:rFonts w:ascii="Arial" w:hAnsi="Arial" w:cs="Arial"/>
                <w:sz w:val="18"/>
                <w:szCs w:val="22"/>
              </w:rPr>
            </w:pPr>
            <w:r w:rsidRPr="00495094">
              <w:rPr>
                <w:rFonts w:ascii="Arial" w:hAnsi="Arial" w:cs="Arial"/>
                <w:sz w:val="18"/>
                <w:szCs w:val="22"/>
              </w:rPr>
              <w:t>General economic and market conditions</w:t>
            </w:r>
          </w:p>
        </w:tc>
      </w:tr>
      <w:tr w:rsidR="00495094" w:rsidRPr="00495094" w14:paraId="0816C836" w14:textId="77777777" w:rsidTr="007A10F3">
        <w:tc>
          <w:tcPr>
            <w:tcW w:w="1331" w:type="dxa"/>
            <w:vMerge/>
          </w:tcPr>
          <w:p w14:paraId="6EC64B80" w14:textId="77777777" w:rsidR="008C77A3" w:rsidRPr="00495094" w:rsidRDefault="008C77A3" w:rsidP="00374DA5">
            <w:pPr>
              <w:rPr>
                <w:rFonts w:ascii="Arial" w:hAnsi="Arial" w:cs="Arial"/>
                <w:sz w:val="18"/>
                <w:szCs w:val="22"/>
              </w:rPr>
            </w:pPr>
          </w:p>
        </w:tc>
        <w:tc>
          <w:tcPr>
            <w:tcW w:w="850" w:type="dxa"/>
          </w:tcPr>
          <w:p w14:paraId="484B6AC8" w14:textId="77777777" w:rsidR="008C77A3" w:rsidRPr="00495094" w:rsidRDefault="008C77A3" w:rsidP="00374DA5">
            <w:pPr>
              <w:rPr>
                <w:rFonts w:ascii="Arial" w:hAnsi="Arial" w:cs="Arial"/>
                <w:sz w:val="18"/>
                <w:szCs w:val="22"/>
              </w:rPr>
            </w:pPr>
            <w:r w:rsidRPr="00495094">
              <w:rPr>
                <w:rFonts w:ascii="Arial" w:hAnsi="Arial" w:cs="Arial"/>
                <w:sz w:val="18"/>
                <w:szCs w:val="22"/>
              </w:rPr>
              <w:t>Stage 2</w:t>
            </w:r>
          </w:p>
        </w:tc>
        <w:tc>
          <w:tcPr>
            <w:tcW w:w="6183" w:type="dxa"/>
          </w:tcPr>
          <w:p w14:paraId="104C491C"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Economic and market conditions adverse to the borrower</w:t>
            </w:r>
          </w:p>
          <w:p w14:paraId="599D7177"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Industry specific issues</w:t>
            </w:r>
          </w:p>
        </w:tc>
      </w:tr>
      <w:tr w:rsidR="00495094" w:rsidRPr="00495094" w14:paraId="4D9A411E" w14:textId="77777777" w:rsidTr="007A10F3">
        <w:tc>
          <w:tcPr>
            <w:tcW w:w="1331" w:type="dxa"/>
            <w:vMerge/>
            <w:tcBorders>
              <w:bottom w:val="single" w:sz="4" w:space="0" w:color="auto"/>
            </w:tcBorders>
          </w:tcPr>
          <w:p w14:paraId="6D0B7B42" w14:textId="77777777" w:rsidR="008C77A3" w:rsidRPr="00495094" w:rsidRDefault="008C77A3" w:rsidP="00374DA5">
            <w:pPr>
              <w:rPr>
                <w:rFonts w:ascii="Arial" w:hAnsi="Arial" w:cs="Arial"/>
                <w:sz w:val="18"/>
                <w:szCs w:val="22"/>
              </w:rPr>
            </w:pPr>
          </w:p>
        </w:tc>
        <w:tc>
          <w:tcPr>
            <w:tcW w:w="850" w:type="dxa"/>
            <w:tcBorders>
              <w:bottom w:val="single" w:sz="4" w:space="0" w:color="auto"/>
            </w:tcBorders>
          </w:tcPr>
          <w:p w14:paraId="6C84834B" w14:textId="77777777" w:rsidR="008C77A3" w:rsidRPr="00495094" w:rsidRDefault="008C77A3" w:rsidP="00374DA5">
            <w:pPr>
              <w:rPr>
                <w:rFonts w:ascii="Arial" w:hAnsi="Arial" w:cs="Arial"/>
                <w:sz w:val="18"/>
                <w:szCs w:val="22"/>
              </w:rPr>
            </w:pPr>
            <w:r w:rsidRPr="00495094">
              <w:rPr>
                <w:rFonts w:ascii="Arial" w:hAnsi="Arial" w:cs="Arial"/>
                <w:sz w:val="18"/>
                <w:szCs w:val="22"/>
              </w:rPr>
              <w:t>Stage 3</w:t>
            </w:r>
          </w:p>
        </w:tc>
        <w:tc>
          <w:tcPr>
            <w:tcW w:w="6183" w:type="dxa"/>
            <w:tcBorders>
              <w:bottom w:val="single" w:sz="4" w:space="0" w:color="auto"/>
            </w:tcBorders>
          </w:tcPr>
          <w:p w14:paraId="32ADB8E0" w14:textId="77777777" w:rsidR="008C77A3" w:rsidRPr="00495094" w:rsidRDefault="008C77A3" w:rsidP="00374DA5">
            <w:pPr>
              <w:rPr>
                <w:rFonts w:ascii="Arial" w:hAnsi="Arial" w:cs="Arial"/>
                <w:sz w:val="18"/>
                <w:szCs w:val="22"/>
              </w:rPr>
            </w:pPr>
            <w:r w:rsidRPr="00495094">
              <w:rPr>
                <w:rFonts w:ascii="Arial" w:hAnsi="Arial" w:cs="Arial"/>
                <w:sz w:val="18"/>
                <w:szCs w:val="22"/>
              </w:rPr>
              <w:t>Company-specific business, operational and financial (PFRS 9 loss events)</w:t>
            </w:r>
          </w:p>
        </w:tc>
      </w:tr>
      <w:tr w:rsidR="00495094" w:rsidRPr="00495094" w14:paraId="5DCA4F5E" w14:textId="77777777" w:rsidTr="007A10F3">
        <w:tc>
          <w:tcPr>
            <w:tcW w:w="1331" w:type="dxa"/>
            <w:vMerge w:val="restart"/>
            <w:tcBorders>
              <w:top w:val="single" w:sz="4" w:space="0" w:color="auto"/>
            </w:tcBorders>
          </w:tcPr>
          <w:p w14:paraId="31C0EA46" w14:textId="77777777" w:rsidR="008C77A3" w:rsidRPr="00495094" w:rsidRDefault="008C77A3" w:rsidP="00374DA5">
            <w:pPr>
              <w:rPr>
                <w:rFonts w:ascii="Arial" w:hAnsi="Arial" w:cs="Arial"/>
                <w:sz w:val="18"/>
                <w:szCs w:val="22"/>
              </w:rPr>
            </w:pPr>
            <w:r w:rsidRPr="00495094">
              <w:rPr>
                <w:rFonts w:ascii="Arial" w:hAnsi="Arial" w:cs="Arial"/>
                <w:sz w:val="18"/>
                <w:szCs w:val="22"/>
              </w:rPr>
              <w:t>BSP Classification/</w:t>
            </w:r>
          </w:p>
          <w:p w14:paraId="50E8591E" w14:textId="77777777" w:rsidR="008C77A3" w:rsidRPr="00495094" w:rsidRDefault="008C77A3" w:rsidP="00374DA5">
            <w:pPr>
              <w:rPr>
                <w:rFonts w:ascii="Arial" w:hAnsi="Arial" w:cs="Arial"/>
                <w:sz w:val="18"/>
                <w:szCs w:val="22"/>
              </w:rPr>
            </w:pPr>
            <w:r w:rsidRPr="00495094">
              <w:rPr>
                <w:rFonts w:ascii="Arial" w:hAnsi="Arial" w:cs="Arial"/>
                <w:sz w:val="18"/>
                <w:szCs w:val="22"/>
              </w:rPr>
              <w:t>Internal Rating</w:t>
            </w:r>
          </w:p>
        </w:tc>
        <w:tc>
          <w:tcPr>
            <w:tcW w:w="850" w:type="dxa"/>
            <w:tcBorders>
              <w:top w:val="single" w:sz="4" w:space="0" w:color="auto"/>
            </w:tcBorders>
          </w:tcPr>
          <w:p w14:paraId="7CAFBDFE" w14:textId="77777777" w:rsidR="008C77A3" w:rsidRPr="00495094" w:rsidRDefault="008C77A3" w:rsidP="00374DA5">
            <w:pPr>
              <w:rPr>
                <w:rFonts w:ascii="Arial" w:hAnsi="Arial" w:cs="Arial"/>
                <w:sz w:val="18"/>
                <w:szCs w:val="22"/>
              </w:rPr>
            </w:pPr>
            <w:r w:rsidRPr="00495094">
              <w:rPr>
                <w:rFonts w:ascii="Arial" w:hAnsi="Arial" w:cs="Arial"/>
                <w:sz w:val="18"/>
                <w:szCs w:val="22"/>
              </w:rPr>
              <w:t>Stage 1</w:t>
            </w:r>
          </w:p>
        </w:tc>
        <w:tc>
          <w:tcPr>
            <w:tcW w:w="6183" w:type="dxa"/>
            <w:tcBorders>
              <w:top w:val="single" w:sz="4" w:space="0" w:color="auto"/>
            </w:tcBorders>
          </w:tcPr>
          <w:p w14:paraId="7D18C144"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1   (Prime)</w:t>
            </w:r>
          </w:p>
          <w:p w14:paraId="39BB419E"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2   (High Grade)</w:t>
            </w:r>
          </w:p>
          <w:p w14:paraId="5FD1243C"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3   (Good)</w:t>
            </w:r>
          </w:p>
          <w:p w14:paraId="756809D4"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4   (Very Satisfactory)</w:t>
            </w:r>
          </w:p>
          <w:p w14:paraId="334E09C5"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5   (Satisfactory)</w:t>
            </w:r>
          </w:p>
          <w:p w14:paraId="53D998DE"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6   (Watchlist)</w:t>
            </w:r>
          </w:p>
        </w:tc>
      </w:tr>
      <w:tr w:rsidR="00495094" w:rsidRPr="00495094" w14:paraId="7134FE9D" w14:textId="77777777" w:rsidTr="007A10F3">
        <w:tc>
          <w:tcPr>
            <w:tcW w:w="1331" w:type="dxa"/>
            <w:vMerge/>
          </w:tcPr>
          <w:p w14:paraId="3553B75E" w14:textId="77777777" w:rsidR="008C77A3" w:rsidRPr="00495094" w:rsidRDefault="008C77A3" w:rsidP="00374DA5">
            <w:pPr>
              <w:rPr>
                <w:rFonts w:ascii="Arial" w:hAnsi="Arial" w:cs="Arial"/>
                <w:sz w:val="18"/>
                <w:szCs w:val="22"/>
              </w:rPr>
            </w:pPr>
          </w:p>
        </w:tc>
        <w:tc>
          <w:tcPr>
            <w:tcW w:w="850" w:type="dxa"/>
          </w:tcPr>
          <w:p w14:paraId="67AE7267" w14:textId="77777777" w:rsidR="008C77A3" w:rsidRPr="00495094" w:rsidRDefault="008C77A3" w:rsidP="00374DA5">
            <w:pPr>
              <w:rPr>
                <w:rFonts w:ascii="Arial" w:hAnsi="Arial" w:cs="Arial"/>
                <w:sz w:val="18"/>
                <w:szCs w:val="22"/>
              </w:rPr>
            </w:pPr>
            <w:r w:rsidRPr="00495094">
              <w:rPr>
                <w:rFonts w:ascii="Arial" w:hAnsi="Arial" w:cs="Arial"/>
                <w:sz w:val="18"/>
                <w:szCs w:val="22"/>
              </w:rPr>
              <w:t>Stage 2</w:t>
            </w:r>
          </w:p>
        </w:tc>
        <w:tc>
          <w:tcPr>
            <w:tcW w:w="6183" w:type="dxa"/>
          </w:tcPr>
          <w:p w14:paraId="2A67D0C8"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7   (EM)</w:t>
            </w:r>
          </w:p>
          <w:p w14:paraId="6BC149B1"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8   (Substandard)</w:t>
            </w:r>
          </w:p>
        </w:tc>
      </w:tr>
      <w:tr w:rsidR="008C77A3" w:rsidRPr="00495094" w14:paraId="17D08B19" w14:textId="77777777" w:rsidTr="007A10F3">
        <w:tc>
          <w:tcPr>
            <w:tcW w:w="1331" w:type="dxa"/>
            <w:vMerge/>
            <w:tcBorders>
              <w:bottom w:val="single" w:sz="4" w:space="0" w:color="auto"/>
            </w:tcBorders>
          </w:tcPr>
          <w:p w14:paraId="1918BBDB" w14:textId="77777777" w:rsidR="008C77A3" w:rsidRPr="00495094" w:rsidRDefault="008C77A3" w:rsidP="00374DA5">
            <w:pPr>
              <w:rPr>
                <w:rFonts w:ascii="Arial" w:hAnsi="Arial" w:cs="Arial"/>
                <w:sz w:val="18"/>
                <w:szCs w:val="22"/>
              </w:rPr>
            </w:pPr>
          </w:p>
        </w:tc>
        <w:tc>
          <w:tcPr>
            <w:tcW w:w="850" w:type="dxa"/>
            <w:tcBorders>
              <w:bottom w:val="single" w:sz="4" w:space="0" w:color="auto"/>
            </w:tcBorders>
          </w:tcPr>
          <w:p w14:paraId="64EB8CE9" w14:textId="77777777" w:rsidR="008C77A3" w:rsidRPr="00495094" w:rsidRDefault="008C77A3" w:rsidP="00374DA5">
            <w:pPr>
              <w:rPr>
                <w:rFonts w:ascii="Arial" w:hAnsi="Arial" w:cs="Arial"/>
                <w:sz w:val="18"/>
                <w:szCs w:val="22"/>
              </w:rPr>
            </w:pPr>
            <w:r w:rsidRPr="00495094">
              <w:rPr>
                <w:rFonts w:ascii="Arial" w:hAnsi="Arial" w:cs="Arial"/>
                <w:sz w:val="18"/>
                <w:szCs w:val="22"/>
              </w:rPr>
              <w:t>Stage 3</w:t>
            </w:r>
          </w:p>
        </w:tc>
        <w:tc>
          <w:tcPr>
            <w:tcW w:w="6183" w:type="dxa"/>
            <w:tcBorders>
              <w:bottom w:val="single" w:sz="4" w:space="0" w:color="auto"/>
            </w:tcBorders>
          </w:tcPr>
          <w:p w14:paraId="3B89A401" w14:textId="77777777" w:rsidR="008C77A3" w:rsidRPr="00495094" w:rsidRDefault="008C77A3" w:rsidP="007F4EEC">
            <w:pPr>
              <w:pStyle w:val="ListParagraph"/>
              <w:numPr>
                <w:ilvl w:val="0"/>
                <w:numId w:val="9"/>
              </w:numPr>
              <w:tabs>
                <w:tab w:val="clear" w:pos="1526"/>
              </w:tabs>
              <w:ind w:left="370"/>
              <w:contextualSpacing/>
              <w:jc w:val="left"/>
              <w:rPr>
                <w:sz w:val="18"/>
              </w:rPr>
            </w:pPr>
            <w:r w:rsidRPr="00495094">
              <w:rPr>
                <w:sz w:val="18"/>
              </w:rPr>
              <w:t>9   (Doutbful)</w:t>
            </w:r>
          </w:p>
          <w:p w14:paraId="2A65A0A4" w14:textId="77777777" w:rsidR="008C77A3" w:rsidRPr="00495094" w:rsidRDefault="008C77A3" w:rsidP="007F4EEC">
            <w:pPr>
              <w:pStyle w:val="ListParagraph"/>
              <w:numPr>
                <w:ilvl w:val="0"/>
                <w:numId w:val="9"/>
              </w:numPr>
              <w:tabs>
                <w:tab w:val="clear" w:pos="1526"/>
              </w:tabs>
              <w:ind w:left="322" w:hanging="312"/>
              <w:contextualSpacing/>
              <w:jc w:val="left"/>
              <w:rPr>
                <w:sz w:val="18"/>
              </w:rPr>
            </w:pPr>
            <w:r w:rsidRPr="00495094">
              <w:rPr>
                <w:sz w:val="18"/>
              </w:rPr>
              <w:t>10   (Loss)</w:t>
            </w:r>
          </w:p>
        </w:tc>
      </w:tr>
    </w:tbl>
    <w:p w14:paraId="513543C9" w14:textId="77777777" w:rsidR="00986EAF" w:rsidRPr="00495094" w:rsidRDefault="00986EAF" w:rsidP="00986EAF">
      <w:pPr>
        <w:rPr>
          <w:rFonts w:ascii="Arial" w:hAnsi="Arial" w:cs="Arial"/>
          <w:sz w:val="22"/>
          <w:szCs w:val="22"/>
        </w:rPr>
      </w:pPr>
    </w:p>
    <w:p w14:paraId="3BE31D12" w14:textId="77777777" w:rsidR="008C77A3" w:rsidRPr="00495094" w:rsidRDefault="008C77A3" w:rsidP="008C77A3">
      <w:pPr>
        <w:pStyle w:val="NormalWeb"/>
        <w:spacing w:before="0" w:beforeAutospacing="0" w:after="0" w:afterAutospacing="0"/>
        <w:rPr>
          <w:rFonts w:ascii="Arial" w:hAnsi="Arial" w:cs="Arial"/>
          <w:sz w:val="22"/>
          <w:szCs w:val="22"/>
        </w:rPr>
      </w:pPr>
      <w:r w:rsidRPr="00495094">
        <w:rPr>
          <w:rFonts w:ascii="Arial" w:hAnsi="Arial" w:cs="Arial"/>
          <w:sz w:val="22"/>
          <w:szCs w:val="22"/>
        </w:rPr>
        <w:t>The Bank’s exposures shall be further classified into the following stages:</w:t>
      </w:r>
    </w:p>
    <w:p w14:paraId="137D7954" w14:textId="77777777" w:rsidR="008C77A3" w:rsidRPr="00495094" w:rsidRDefault="008C77A3" w:rsidP="008C77A3">
      <w:pPr>
        <w:rPr>
          <w:rFonts w:ascii="Arial" w:hAnsi="Arial" w:cs="Arial"/>
          <w:sz w:val="22"/>
          <w:szCs w:val="22"/>
        </w:rPr>
      </w:pPr>
    </w:p>
    <w:tbl>
      <w:tblPr>
        <w:tblStyle w:val="TableGrid"/>
        <w:tblW w:w="8364" w:type="dxa"/>
        <w:tblInd w:w="-5" w:type="dxa"/>
        <w:tblLook w:val="04A0" w:firstRow="1" w:lastRow="0" w:firstColumn="1" w:lastColumn="0" w:noHBand="0" w:noVBand="1"/>
      </w:tblPr>
      <w:tblGrid>
        <w:gridCol w:w="1138"/>
        <w:gridCol w:w="5241"/>
        <w:gridCol w:w="1985"/>
      </w:tblGrid>
      <w:tr w:rsidR="00495094" w:rsidRPr="00495094" w14:paraId="7A8135EE" w14:textId="77777777" w:rsidTr="00972AC9">
        <w:tc>
          <w:tcPr>
            <w:tcW w:w="1138" w:type="dxa"/>
          </w:tcPr>
          <w:p w14:paraId="4FA438D9"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Stage</w:t>
            </w:r>
          </w:p>
        </w:tc>
        <w:tc>
          <w:tcPr>
            <w:tcW w:w="5241" w:type="dxa"/>
          </w:tcPr>
          <w:p w14:paraId="6A25B28C"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Characteristics</w:t>
            </w:r>
          </w:p>
        </w:tc>
        <w:tc>
          <w:tcPr>
            <w:tcW w:w="1985" w:type="dxa"/>
          </w:tcPr>
          <w:p w14:paraId="433F9D45"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ECL Assessment</w:t>
            </w:r>
          </w:p>
        </w:tc>
      </w:tr>
      <w:tr w:rsidR="00495094" w:rsidRPr="00495094" w14:paraId="221AC071" w14:textId="77777777" w:rsidTr="00972AC9">
        <w:tc>
          <w:tcPr>
            <w:tcW w:w="1138" w:type="dxa"/>
          </w:tcPr>
          <w:p w14:paraId="49FEF1CF"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1</w:t>
            </w:r>
          </w:p>
        </w:tc>
        <w:tc>
          <w:tcPr>
            <w:tcW w:w="5241" w:type="dxa"/>
          </w:tcPr>
          <w:p w14:paraId="548F5FE6" w14:textId="77777777" w:rsidR="008C77A3" w:rsidRPr="00495094" w:rsidRDefault="008C77A3" w:rsidP="00374DA5">
            <w:pPr>
              <w:pStyle w:val="NormalWeb"/>
              <w:rPr>
                <w:rFonts w:ascii="Arial" w:hAnsi="Arial" w:cs="Arial"/>
                <w:sz w:val="20"/>
                <w:szCs w:val="22"/>
              </w:rPr>
            </w:pPr>
            <w:r w:rsidRPr="00495094">
              <w:rPr>
                <w:rFonts w:ascii="Arial" w:hAnsi="Arial" w:cs="Arial"/>
                <w:sz w:val="20"/>
                <w:szCs w:val="22"/>
              </w:rPr>
              <w:t xml:space="preserve">credit exposures that are considered “performing” and with no significant increase in credit risk since initial recognition or with low credit risk </w:t>
            </w:r>
          </w:p>
        </w:tc>
        <w:tc>
          <w:tcPr>
            <w:tcW w:w="1985" w:type="dxa"/>
          </w:tcPr>
          <w:p w14:paraId="1B5EE242"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12 month</w:t>
            </w:r>
          </w:p>
        </w:tc>
      </w:tr>
      <w:tr w:rsidR="00495094" w:rsidRPr="00495094" w14:paraId="2BAFFC13" w14:textId="77777777" w:rsidTr="00972AC9">
        <w:tc>
          <w:tcPr>
            <w:tcW w:w="1138" w:type="dxa"/>
          </w:tcPr>
          <w:p w14:paraId="775566F2"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2</w:t>
            </w:r>
          </w:p>
        </w:tc>
        <w:tc>
          <w:tcPr>
            <w:tcW w:w="5241" w:type="dxa"/>
          </w:tcPr>
          <w:p w14:paraId="225B3F16" w14:textId="77777777" w:rsidR="008C77A3" w:rsidRPr="00495094" w:rsidRDefault="008C77A3" w:rsidP="00374DA5">
            <w:pPr>
              <w:pStyle w:val="NormalWeb"/>
              <w:rPr>
                <w:rFonts w:ascii="Arial" w:hAnsi="Arial" w:cs="Arial"/>
                <w:sz w:val="20"/>
                <w:szCs w:val="22"/>
              </w:rPr>
            </w:pPr>
            <w:r w:rsidRPr="00495094">
              <w:rPr>
                <w:rFonts w:ascii="Arial" w:hAnsi="Arial" w:cs="Arial"/>
                <w:sz w:val="20"/>
                <w:szCs w:val="22"/>
              </w:rPr>
              <w:t xml:space="preserve">credit exposures that are considered “under-performing” or not yet non-performing but with significant increase in credit risk since initial recognition </w:t>
            </w:r>
          </w:p>
        </w:tc>
        <w:tc>
          <w:tcPr>
            <w:tcW w:w="1985" w:type="dxa"/>
          </w:tcPr>
          <w:p w14:paraId="218FFB7F"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lifetime</w:t>
            </w:r>
          </w:p>
        </w:tc>
      </w:tr>
      <w:tr w:rsidR="00495094" w:rsidRPr="00495094" w14:paraId="74DC08EC" w14:textId="77777777" w:rsidTr="00972AC9">
        <w:tc>
          <w:tcPr>
            <w:tcW w:w="1138" w:type="dxa"/>
          </w:tcPr>
          <w:p w14:paraId="19661C94"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3</w:t>
            </w:r>
          </w:p>
        </w:tc>
        <w:tc>
          <w:tcPr>
            <w:tcW w:w="5241" w:type="dxa"/>
          </w:tcPr>
          <w:p w14:paraId="7D630BAA" w14:textId="77777777" w:rsidR="008C77A3" w:rsidRPr="00495094" w:rsidRDefault="008C77A3" w:rsidP="00374DA5">
            <w:pPr>
              <w:pStyle w:val="NormalWeb"/>
              <w:rPr>
                <w:rFonts w:ascii="Arial" w:hAnsi="Arial" w:cs="Arial"/>
                <w:sz w:val="20"/>
                <w:szCs w:val="22"/>
              </w:rPr>
            </w:pPr>
            <w:r w:rsidRPr="00495094">
              <w:rPr>
                <w:rFonts w:ascii="Arial" w:hAnsi="Arial" w:cs="Arial"/>
                <w:sz w:val="20"/>
                <w:szCs w:val="22"/>
              </w:rPr>
              <w:t xml:space="preserve">credit exposures with objective evidence of impairment, these are considered as “non-performing” </w:t>
            </w:r>
          </w:p>
        </w:tc>
        <w:tc>
          <w:tcPr>
            <w:tcW w:w="1985" w:type="dxa"/>
          </w:tcPr>
          <w:p w14:paraId="5BC377E9" w14:textId="77777777" w:rsidR="008C77A3" w:rsidRPr="00495094" w:rsidRDefault="008C77A3" w:rsidP="00374DA5">
            <w:pPr>
              <w:jc w:val="center"/>
              <w:rPr>
                <w:rFonts w:ascii="Arial" w:hAnsi="Arial" w:cs="Arial"/>
                <w:sz w:val="20"/>
                <w:szCs w:val="22"/>
              </w:rPr>
            </w:pPr>
            <w:r w:rsidRPr="00495094">
              <w:rPr>
                <w:rFonts w:ascii="Arial" w:hAnsi="Arial" w:cs="Arial"/>
                <w:sz w:val="20"/>
                <w:szCs w:val="22"/>
              </w:rPr>
              <w:t>lifetime</w:t>
            </w:r>
          </w:p>
        </w:tc>
      </w:tr>
    </w:tbl>
    <w:p w14:paraId="5515AEE3" w14:textId="77777777" w:rsidR="008C77A3" w:rsidRPr="00495094" w:rsidRDefault="008C77A3" w:rsidP="00986EAF">
      <w:pPr>
        <w:rPr>
          <w:rFonts w:ascii="Arial" w:hAnsi="Arial" w:cs="Arial"/>
          <w:sz w:val="22"/>
          <w:szCs w:val="22"/>
        </w:rPr>
      </w:pPr>
    </w:p>
    <w:p w14:paraId="03765FE6" w14:textId="77777777" w:rsidR="00986EAF" w:rsidRPr="00495094" w:rsidRDefault="00986EAF" w:rsidP="00986EAF">
      <w:pPr>
        <w:rPr>
          <w:rFonts w:ascii="Arial" w:hAnsi="Arial" w:cs="Arial"/>
          <w:sz w:val="22"/>
          <w:szCs w:val="22"/>
        </w:rPr>
      </w:pPr>
      <w:r w:rsidRPr="00495094">
        <w:rPr>
          <w:rFonts w:ascii="Arial" w:hAnsi="Arial" w:cs="Arial"/>
          <w:sz w:val="22"/>
          <w:szCs w:val="22"/>
        </w:rPr>
        <w:t>The result of the credit evaluation is used as basis in adjusting credit lines periodically. To efficiently manage credit exposures, collateral and other applicable agreements are executed with counterparties whenever possible.</w:t>
      </w:r>
    </w:p>
    <w:p w14:paraId="061ECE1A" w14:textId="77777777" w:rsidR="0036040E" w:rsidRPr="00495094" w:rsidRDefault="0036040E" w:rsidP="00986EAF">
      <w:pPr>
        <w:rPr>
          <w:rFonts w:ascii="Arial" w:hAnsi="Arial" w:cs="Arial"/>
          <w:sz w:val="22"/>
          <w:szCs w:val="22"/>
        </w:rPr>
      </w:pPr>
    </w:p>
    <w:p w14:paraId="2203EE38" w14:textId="09EB5A19" w:rsidR="00986EAF" w:rsidRPr="00495094" w:rsidRDefault="00986EAF" w:rsidP="00986EAF">
      <w:pPr>
        <w:rPr>
          <w:rFonts w:ascii="Arial" w:hAnsi="Arial" w:cs="Arial"/>
          <w:sz w:val="22"/>
          <w:szCs w:val="22"/>
        </w:rPr>
      </w:pPr>
      <w:r w:rsidRPr="00495094">
        <w:rPr>
          <w:rFonts w:ascii="Arial" w:hAnsi="Arial" w:cs="Arial"/>
          <w:sz w:val="22"/>
          <w:szCs w:val="22"/>
        </w:rPr>
        <w:t>The Bank monitors and reviews from time to time the credit practices and reporting, and if appropriate, approve credit policy changes and procedures to ensure that credit policies are appropriate and are being complied with.</w:t>
      </w:r>
      <w:r w:rsidR="00011BDF" w:rsidRPr="00495094">
        <w:rPr>
          <w:rFonts w:ascii="Arial" w:hAnsi="Arial" w:cs="Arial"/>
          <w:sz w:val="22"/>
          <w:szCs w:val="22"/>
        </w:rPr>
        <w:t xml:space="preserve"> </w:t>
      </w:r>
      <w:r w:rsidRPr="00495094">
        <w:rPr>
          <w:rFonts w:ascii="Arial" w:hAnsi="Arial" w:cs="Arial"/>
          <w:sz w:val="22"/>
          <w:szCs w:val="22"/>
        </w:rPr>
        <w:t>Accounts for write-off shall also approved by the BOD.</w:t>
      </w:r>
    </w:p>
    <w:p w14:paraId="5D21E8A5" w14:textId="77777777" w:rsidR="00134EE8" w:rsidRPr="00495094" w:rsidRDefault="00134EE8" w:rsidP="00986EAF">
      <w:pPr>
        <w:rPr>
          <w:rFonts w:ascii="Arial" w:hAnsi="Arial" w:cs="Arial"/>
          <w:sz w:val="22"/>
          <w:szCs w:val="22"/>
        </w:rPr>
      </w:pPr>
    </w:p>
    <w:p w14:paraId="65D96D1E" w14:textId="77777777" w:rsidR="00807C5B" w:rsidRPr="00495094" w:rsidRDefault="00807C5B" w:rsidP="00986EAF">
      <w:pPr>
        <w:rPr>
          <w:rFonts w:ascii="Arial" w:hAnsi="Arial" w:cs="Arial"/>
          <w:sz w:val="22"/>
          <w:szCs w:val="22"/>
        </w:rPr>
      </w:pPr>
    </w:p>
    <w:p w14:paraId="613C109B" w14:textId="77777777" w:rsidR="00807C5B" w:rsidRPr="00495094" w:rsidRDefault="00807C5B" w:rsidP="00986EAF">
      <w:pPr>
        <w:rPr>
          <w:rFonts w:ascii="Arial" w:hAnsi="Arial" w:cs="Arial"/>
          <w:sz w:val="22"/>
          <w:szCs w:val="22"/>
        </w:rPr>
      </w:pPr>
    </w:p>
    <w:p w14:paraId="5855FC0C" w14:textId="77777777" w:rsidR="00807C5B" w:rsidRPr="00495094" w:rsidRDefault="00807C5B" w:rsidP="00986EAF">
      <w:pPr>
        <w:rPr>
          <w:rFonts w:ascii="Arial" w:hAnsi="Arial" w:cs="Arial"/>
          <w:sz w:val="22"/>
          <w:szCs w:val="22"/>
        </w:rPr>
      </w:pPr>
    </w:p>
    <w:p w14:paraId="75B34E38" w14:textId="77777777" w:rsidR="00807C5B" w:rsidRPr="00495094" w:rsidRDefault="00807C5B" w:rsidP="00986EAF">
      <w:pPr>
        <w:rPr>
          <w:rFonts w:ascii="Arial" w:hAnsi="Arial" w:cs="Arial"/>
          <w:sz w:val="22"/>
          <w:szCs w:val="22"/>
        </w:rPr>
      </w:pPr>
    </w:p>
    <w:p w14:paraId="457AEFE1" w14:textId="77777777" w:rsidR="00986EAF" w:rsidRPr="00495094" w:rsidRDefault="00986EAF" w:rsidP="00986EAF">
      <w:pPr>
        <w:rPr>
          <w:rFonts w:ascii="Arial" w:hAnsi="Arial" w:cs="Arial"/>
          <w:sz w:val="22"/>
          <w:szCs w:val="22"/>
        </w:rPr>
      </w:pPr>
      <w:r w:rsidRPr="00495094">
        <w:rPr>
          <w:rFonts w:ascii="Arial" w:hAnsi="Arial" w:cs="Arial"/>
          <w:sz w:val="22"/>
          <w:szCs w:val="22"/>
        </w:rPr>
        <w:lastRenderedPageBreak/>
        <w:t>The Bank prepares a monthly report on credit quality as summarized below (in million Pesos):</w:t>
      </w:r>
    </w:p>
    <w:p w14:paraId="18515392" w14:textId="77777777" w:rsidR="00986EAF" w:rsidRPr="00495094" w:rsidRDefault="00986EAF" w:rsidP="00986EAF">
      <w:pPr>
        <w:rPr>
          <w:rFonts w:ascii="Arial" w:hAnsi="Arial" w:cs="Arial"/>
          <w:sz w:val="22"/>
          <w:szCs w:val="22"/>
        </w:rPr>
      </w:pPr>
    </w:p>
    <w:tbl>
      <w:tblPr>
        <w:tblW w:w="8364" w:type="dxa"/>
        <w:tblLook w:val="04A0" w:firstRow="1" w:lastRow="0" w:firstColumn="1" w:lastColumn="0" w:noHBand="0" w:noVBand="1"/>
      </w:tblPr>
      <w:tblGrid>
        <w:gridCol w:w="5704"/>
        <w:gridCol w:w="1417"/>
        <w:gridCol w:w="1243"/>
      </w:tblGrid>
      <w:tr w:rsidR="00495094" w:rsidRPr="00495094" w14:paraId="162015C5" w14:textId="77777777" w:rsidTr="00972AC9">
        <w:trPr>
          <w:trHeight w:val="22"/>
          <w:tblHeader/>
        </w:trPr>
        <w:tc>
          <w:tcPr>
            <w:tcW w:w="5704" w:type="dxa"/>
            <w:tcBorders>
              <w:top w:val="single" w:sz="4" w:space="0" w:color="auto"/>
              <w:bottom w:val="single" w:sz="4" w:space="0" w:color="auto"/>
            </w:tcBorders>
            <w:shd w:val="clear" w:color="auto" w:fill="auto"/>
            <w:vAlign w:val="center"/>
            <w:hideMark/>
          </w:tcPr>
          <w:p w14:paraId="02FFD0CC" w14:textId="77777777" w:rsidR="00986EAF" w:rsidRPr="00495094" w:rsidRDefault="00986EAF" w:rsidP="00E33BFC">
            <w:pPr>
              <w:rPr>
                <w:rFonts w:ascii="Arial" w:hAnsi="Arial" w:cs="Arial"/>
                <w:sz w:val="22"/>
                <w:szCs w:val="22"/>
                <w:lang w:eastAsia="en-PH"/>
              </w:rPr>
            </w:pPr>
            <w:r w:rsidRPr="00495094">
              <w:rPr>
                <w:rFonts w:ascii="Arial" w:hAnsi="Arial" w:cs="Arial"/>
                <w:sz w:val="22"/>
                <w:szCs w:val="22"/>
                <w:lang w:eastAsia="en-PH"/>
              </w:rPr>
              <w:t> </w:t>
            </w:r>
          </w:p>
        </w:tc>
        <w:tc>
          <w:tcPr>
            <w:tcW w:w="1417" w:type="dxa"/>
            <w:tcBorders>
              <w:top w:val="single" w:sz="4" w:space="0" w:color="auto"/>
              <w:bottom w:val="single" w:sz="4" w:space="0" w:color="auto"/>
            </w:tcBorders>
            <w:shd w:val="clear" w:color="auto" w:fill="auto"/>
            <w:vAlign w:val="center"/>
            <w:hideMark/>
          </w:tcPr>
          <w:p w14:paraId="2AF9E3E6" w14:textId="62A940F9" w:rsidR="00986EAF" w:rsidRPr="00495094" w:rsidRDefault="00986EAF" w:rsidP="00C031A2">
            <w:pPr>
              <w:jc w:val="center"/>
              <w:rPr>
                <w:rFonts w:ascii="Arial" w:hAnsi="Arial" w:cs="Arial"/>
                <w:b/>
                <w:bCs/>
                <w:sz w:val="22"/>
                <w:szCs w:val="22"/>
                <w:lang w:eastAsia="en-PH"/>
              </w:rPr>
            </w:pPr>
            <w:r w:rsidRPr="00495094">
              <w:rPr>
                <w:rFonts w:ascii="Arial" w:hAnsi="Arial" w:cs="Arial"/>
                <w:b/>
                <w:bCs/>
                <w:sz w:val="22"/>
                <w:szCs w:val="22"/>
                <w:lang w:eastAsia="en-PH"/>
              </w:rPr>
              <w:t>20</w:t>
            </w:r>
            <w:r w:rsidR="006B78EF" w:rsidRPr="00495094">
              <w:rPr>
                <w:rFonts w:ascii="Arial" w:hAnsi="Arial" w:cs="Arial"/>
                <w:b/>
                <w:bCs/>
                <w:sz w:val="22"/>
                <w:szCs w:val="22"/>
                <w:lang w:eastAsia="en-PH"/>
              </w:rPr>
              <w:t>22</w:t>
            </w:r>
          </w:p>
        </w:tc>
        <w:tc>
          <w:tcPr>
            <w:tcW w:w="1243" w:type="dxa"/>
            <w:tcBorders>
              <w:top w:val="single" w:sz="4" w:space="0" w:color="auto"/>
              <w:bottom w:val="single" w:sz="4" w:space="0" w:color="auto"/>
            </w:tcBorders>
            <w:shd w:val="clear" w:color="auto" w:fill="auto"/>
            <w:vAlign w:val="center"/>
            <w:hideMark/>
          </w:tcPr>
          <w:p w14:paraId="4FA8B477" w14:textId="5090F4C0" w:rsidR="00986EAF" w:rsidRPr="00495094" w:rsidRDefault="00A30102" w:rsidP="005D6329">
            <w:pPr>
              <w:jc w:val="center"/>
              <w:rPr>
                <w:rFonts w:ascii="Arial" w:hAnsi="Arial" w:cs="Arial"/>
                <w:b/>
                <w:bCs/>
                <w:sz w:val="22"/>
                <w:szCs w:val="22"/>
                <w:lang w:eastAsia="en-PH"/>
              </w:rPr>
            </w:pPr>
            <w:r w:rsidRPr="00495094">
              <w:rPr>
                <w:rFonts w:ascii="Arial" w:hAnsi="Arial" w:cs="Arial"/>
                <w:b/>
                <w:bCs/>
                <w:sz w:val="22"/>
                <w:szCs w:val="22"/>
                <w:lang w:eastAsia="en-PH"/>
              </w:rPr>
              <w:t>202</w:t>
            </w:r>
            <w:r w:rsidR="005D6329" w:rsidRPr="00495094">
              <w:rPr>
                <w:rFonts w:ascii="Arial" w:hAnsi="Arial" w:cs="Arial"/>
                <w:b/>
                <w:bCs/>
                <w:sz w:val="22"/>
                <w:szCs w:val="22"/>
                <w:lang w:eastAsia="en-PH"/>
              </w:rPr>
              <w:t>1</w:t>
            </w:r>
          </w:p>
        </w:tc>
      </w:tr>
      <w:tr w:rsidR="00495094" w:rsidRPr="00495094" w14:paraId="220E67AE" w14:textId="77777777" w:rsidTr="00972AC9">
        <w:trPr>
          <w:trHeight w:val="22"/>
        </w:trPr>
        <w:tc>
          <w:tcPr>
            <w:tcW w:w="5704" w:type="dxa"/>
            <w:tcBorders>
              <w:top w:val="single" w:sz="4" w:space="0" w:color="auto"/>
            </w:tcBorders>
            <w:shd w:val="clear" w:color="auto" w:fill="auto"/>
            <w:vAlign w:val="center"/>
            <w:hideMark/>
          </w:tcPr>
          <w:p w14:paraId="67EFE68E" w14:textId="77777777" w:rsidR="00A30102" w:rsidRPr="00495094" w:rsidRDefault="00A30102" w:rsidP="00A30102">
            <w:pPr>
              <w:rPr>
                <w:rFonts w:ascii="Arial" w:hAnsi="Arial" w:cs="Arial"/>
                <w:sz w:val="22"/>
                <w:szCs w:val="22"/>
                <w:lang w:eastAsia="en-PH"/>
              </w:rPr>
            </w:pPr>
            <w:r w:rsidRPr="00495094">
              <w:rPr>
                <w:rFonts w:ascii="Arial" w:hAnsi="Arial" w:cs="Arial"/>
                <w:sz w:val="22"/>
                <w:szCs w:val="22"/>
                <w:lang w:eastAsia="en-PH"/>
              </w:rPr>
              <w:t>Neither past due nor impaired</w:t>
            </w:r>
          </w:p>
        </w:tc>
        <w:tc>
          <w:tcPr>
            <w:tcW w:w="1417" w:type="dxa"/>
            <w:tcBorders>
              <w:top w:val="single" w:sz="4" w:space="0" w:color="auto"/>
            </w:tcBorders>
            <w:shd w:val="clear" w:color="auto" w:fill="auto"/>
            <w:vAlign w:val="center"/>
          </w:tcPr>
          <w:p w14:paraId="796CB411" w14:textId="3820E6E1"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1,848.593</w:t>
            </w:r>
          </w:p>
        </w:tc>
        <w:tc>
          <w:tcPr>
            <w:tcW w:w="1243" w:type="dxa"/>
            <w:tcBorders>
              <w:top w:val="single" w:sz="4" w:space="0" w:color="auto"/>
            </w:tcBorders>
            <w:shd w:val="clear" w:color="auto" w:fill="auto"/>
            <w:vAlign w:val="center"/>
            <w:hideMark/>
          </w:tcPr>
          <w:p w14:paraId="5A44F240" w14:textId="325F8413" w:rsidR="00A30102" w:rsidRPr="00495094" w:rsidRDefault="005D6329" w:rsidP="00A30102">
            <w:pPr>
              <w:jc w:val="right"/>
              <w:rPr>
                <w:rFonts w:ascii="Arial" w:hAnsi="Arial" w:cs="Arial"/>
                <w:sz w:val="22"/>
                <w:szCs w:val="22"/>
                <w:lang w:eastAsia="en-PH"/>
              </w:rPr>
            </w:pPr>
            <w:r w:rsidRPr="00495094">
              <w:rPr>
                <w:rFonts w:ascii="Arial" w:hAnsi="Arial" w:cs="Arial"/>
                <w:sz w:val="22"/>
                <w:szCs w:val="22"/>
                <w:lang w:eastAsia="en-PH"/>
              </w:rPr>
              <w:t>0</w:t>
            </w:r>
          </w:p>
        </w:tc>
      </w:tr>
      <w:tr w:rsidR="00495094" w:rsidRPr="00495094" w14:paraId="24A04378" w14:textId="77777777" w:rsidTr="00972AC9">
        <w:trPr>
          <w:trHeight w:val="22"/>
        </w:trPr>
        <w:tc>
          <w:tcPr>
            <w:tcW w:w="5704" w:type="dxa"/>
            <w:shd w:val="clear" w:color="auto" w:fill="auto"/>
            <w:vAlign w:val="center"/>
            <w:hideMark/>
          </w:tcPr>
          <w:p w14:paraId="1DAC3D4E" w14:textId="77777777" w:rsidR="00A30102" w:rsidRPr="00495094" w:rsidRDefault="00A30102" w:rsidP="00A30102">
            <w:pPr>
              <w:rPr>
                <w:rFonts w:ascii="Arial" w:hAnsi="Arial" w:cs="Arial"/>
                <w:sz w:val="22"/>
                <w:szCs w:val="22"/>
                <w:lang w:eastAsia="en-PH"/>
              </w:rPr>
            </w:pPr>
            <w:r w:rsidRPr="00495094">
              <w:rPr>
                <w:rFonts w:ascii="Arial" w:hAnsi="Arial" w:cs="Arial"/>
                <w:sz w:val="22"/>
                <w:szCs w:val="22"/>
                <w:lang w:eastAsia="en-PH"/>
              </w:rPr>
              <w:t>Past Due but not impaired</w:t>
            </w:r>
          </w:p>
        </w:tc>
        <w:tc>
          <w:tcPr>
            <w:tcW w:w="1417" w:type="dxa"/>
            <w:shd w:val="clear" w:color="auto" w:fill="auto"/>
            <w:vAlign w:val="center"/>
          </w:tcPr>
          <w:p w14:paraId="73B88A90" w14:textId="61460952"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6.276</w:t>
            </w:r>
          </w:p>
        </w:tc>
        <w:tc>
          <w:tcPr>
            <w:tcW w:w="1243" w:type="dxa"/>
            <w:shd w:val="clear" w:color="auto" w:fill="auto"/>
            <w:vAlign w:val="center"/>
            <w:hideMark/>
          </w:tcPr>
          <w:p w14:paraId="09A89D1E" w14:textId="240EC96B" w:rsidR="00A30102" w:rsidRPr="00495094" w:rsidRDefault="00A30102" w:rsidP="00A30102">
            <w:pPr>
              <w:jc w:val="right"/>
              <w:rPr>
                <w:rFonts w:ascii="Arial" w:hAnsi="Arial" w:cs="Arial"/>
                <w:sz w:val="22"/>
                <w:szCs w:val="22"/>
                <w:lang w:eastAsia="en-PH"/>
              </w:rPr>
            </w:pPr>
            <w:r w:rsidRPr="00495094">
              <w:rPr>
                <w:rFonts w:ascii="Arial" w:hAnsi="Arial" w:cs="Arial"/>
                <w:sz w:val="22"/>
                <w:szCs w:val="22"/>
                <w:lang w:eastAsia="en-PH"/>
              </w:rPr>
              <w:t>0</w:t>
            </w:r>
          </w:p>
        </w:tc>
      </w:tr>
      <w:tr w:rsidR="00495094" w:rsidRPr="00495094" w14:paraId="66E343EC" w14:textId="77777777" w:rsidTr="00972AC9">
        <w:trPr>
          <w:trHeight w:val="22"/>
        </w:trPr>
        <w:tc>
          <w:tcPr>
            <w:tcW w:w="5704" w:type="dxa"/>
            <w:tcBorders>
              <w:bottom w:val="single" w:sz="4" w:space="0" w:color="auto"/>
            </w:tcBorders>
            <w:shd w:val="clear" w:color="auto" w:fill="auto"/>
            <w:vAlign w:val="center"/>
            <w:hideMark/>
          </w:tcPr>
          <w:p w14:paraId="33491595" w14:textId="77777777" w:rsidR="00A30102" w:rsidRPr="00495094" w:rsidRDefault="00A30102" w:rsidP="00A30102">
            <w:pPr>
              <w:rPr>
                <w:rFonts w:ascii="Arial" w:hAnsi="Arial" w:cs="Arial"/>
                <w:sz w:val="22"/>
                <w:szCs w:val="22"/>
                <w:lang w:eastAsia="en-PH"/>
              </w:rPr>
            </w:pPr>
            <w:r w:rsidRPr="00495094">
              <w:rPr>
                <w:rFonts w:ascii="Arial" w:hAnsi="Arial" w:cs="Arial"/>
                <w:sz w:val="22"/>
                <w:szCs w:val="22"/>
                <w:lang w:eastAsia="en-PH"/>
              </w:rPr>
              <w:t>Impaired</w:t>
            </w:r>
          </w:p>
        </w:tc>
        <w:tc>
          <w:tcPr>
            <w:tcW w:w="1417" w:type="dxa"/>
            <w:tcBorders>
              <w:bottom w:val="single" w:sz="4" w:space="0" w:color="auto"/>
            </w:tcBorders>
            <w:shd w:val="clear" w:color="auto" w:fill="auto"/>
            <w:vAlign w:val="center"/>
          </w:tcPr>
          <w:p w14:paraId="15CDB771" w14:textId="56E088D9"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11.251</w:t>
            </w:r>
          </w:p>
        </w:tc>
        <w:tc>
          <w:tcPr>
            <w:tcW w:w="1243" w:type="dxa"/>
            <w:tcBorders>
              <w:bottom w:val="single" w:sz="4" w:space="0" w:color="auto"/>
            </w:tcBorders>
            <w:shd w:val="clear" w:color="auto" w:fill="auto"/>
            <w:vAlign w:val="center"/>
            <w:hideMark/>
          </w:tcPr>
          <w:p w14:paraId="10033A61" w14:textId="3BF8FA88"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2.159</w:t>
            </w:r>
          </w:p>
        </w:tc>
      </w:tr>
      <w:tr w:rsidR="00495094" w:rsidRPr="00495094" w14:paraId="347A0DF7" w14:textId="77777777" w:rsidTr="00972AC9">
        <w:trPr>
          <w:trHeight w:val="22"/>
        </w:trPr>
        <w:tc>
          <w:tcPr>
            <w:tcW w:w="5704" w:type="dxa"/>
            <w:tcBorders>
              <w:top w:val="single" w:sz="4" w:space="0" w:color="auto"/>
            </w:tcBorders>
            <w:shd w:val="clear" w:color="auto" w:fill="auto"/>
            <w:vAlign w:val="center"/>
            <w:hideMark/>
          </w:tcPr>
          <w:p w14:paraId="37B1A6C7" w14:textId="77777777" w:rsidR="00A30102" w:rsidRPr="00495094" w:rsidRDefault="00A30102" w:rsidP="00A30102">
            <w:pPr>
              <w:rPr>
                <w:rFonts w:ascii="Arial" w:hAnsi="Arial" w:cs="Arial"/>
                <w:sz w:val="22"/>
                <w:szCs w:val="22"/>
                <w:lang w:eastAsia="en-PH"/>
              </w:rPr>
            </w:pPr>
          </w:p>
        </w:tc>
        <w:tc>
          <w:tcPr>
            <w:tcW w:w="1417" w:type="dxa"/>
            <w:tcBorders>
              <w:top w:val="single" w:sz="4" w:space="0" w:color="auto"/>
            </w:tcBorders>
            <w:shd w:val="clear" w:color="auto" w:fill="auto"/>
            <w:vAlign w:val="center"/>
          </w:tcPr>
          <w:p w14:paraId="3557E54E" w14:textId="648C22A9"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1,866.120</w:t>
            </w:r>
          </w:p>
        </w:tc>
        <w:tc>
          <w:tcPr>
            <w:tcW w:w="1243" w:type="dxa"/>
            <w:tcBorders>
              <w:top w:val="single" w:sz="4" w:space="0" w:color="auto"/>
            </w:tcBorders>
            <w:shd w:val="clear" w:color="auto" w:fill="auto"/>
            <w:vAlign w:val="center"/>
            <w:hideMark/>
          </w:tcPr>
          <w:p w14:paraId="08049FFB" w14:textId="43B52AF3" w:rsidR="00A30102" w:rsidRPr="00495094" w:rsidRDefault="005D6329" w:rsidP="00A30102">
            <w:pPr>
              <w:jc w:val="right"/>
              <w:rPr>
                <w:rFonts w:ascii="Arial" w:hAnsi="Arial" w:cs="Arial"/>
                <w:sz w:val="22"/>
                <w:szCs w:val="22"/>
                <w:lang w:eastAsia="en-PH"/>
              </w:rPr>
            </w:pPr>
            <w:r w:rsidRPr="00495094">
              <w:rPr>
                <w:rFonts w:ascii="Arial" w:hAnsi="Arial" w:cs="Arial"/>
                <w:sz w:val="22"/>
                <w:szCs w:val="22"/>
                <w:lang w:eastAsia="en-PH"/>
              </w:rPr>
              <w:t>2.159</w:t>
            </w:r>
          </w:p>
        </w:tc>
      </w:tr>
      <w:tr w:rsidR="00495094" w:rsidRPr="00495094" w14:paraId="3FC76AA1" w14:textId="77777777" w:rsidTr="00972AC9">
        <w:trPr>
          <w:trHeight w:val="22"/>
        </w:trPr>
        <w:tc>
          <w:tcPr>
            <w:tcW w:w="5704" w:type="dxa"/>
            <w:tcBorders>
              <w:bottom w:val="single" w:sz="4" w:space="0" w:color="auto"/>
            </w:tcBorders>
            <w:shd w:val="clear" w:color="auto" w:fill="auto"/>
            <w:vAlign w:val="center"/>
            <w:hideMark/>
          </w:tcPr>
          <w:p w14:paraId="497695E5" w14:textId="77777777" w:rsidR="00A30102" w:rsidRPr="00495094" w:rsidRDefault="00A30102" w:rsidP="00972AC9">
            <w:pPr>
              <w:pStyle w:val="ListParagraph"/>
              <w:tabs>
                <w:tab w:val="clear" w:pos="1526"/>
              </w:tabs>
              <w:rPr>
                <w:lang w:eastAsia="en-PH"/>
              </w:rPr>
            </w:pPr>
            <w:r w:rsidRPr="00495094">
              <w:rPr>
                <w:lang w:eastAsia="en-PH"/>
              </w:rPr>
              <w:t>Less:  Specific allowance for credit losses</w:t>
            </w:r>
          </w:p>
        </w:tc>
        <w:tc>
          <w:tcPr>
            <w:tcW w:w="1417" w:type="dxa"/>
            <w:tcBorders>
              <w:bottom w:val="single" w:sz="4" w:space="0" w:color="auto"/>
            </w:tcBorders>
            <w:shd w:val="clear" w:color="auto" w:fill="auto"/>
            <w:vAlign w:val="center"/>
          </w:tcPr>
          <w:p w14:paraId="656151DF" w14:textId="63213D07" w:rsidR="00A30102" w:rsidRPr="00495094" w:rsidRDefault="00465E97" w:rsidP="00C03224">
            <w:pPr>
              <w:jc w:val="right"/>
              <w:rPr>
                <w:rFonts w:ascii="Arial" w:hAnsi="Arial" w:cs="Arial"/>
                <w:sz w:val="22"/>
                <w:szCs w:val="22"/>
                <w:lang w:eastAsia="en-PH"/>
              </w:rPr>
            </w:pPr>
            <w:r w:rsidRPr="00495094">
              <w:rPr>
                <w:rFonts w:ascii="Arial" w:hAnsi="Arial" w:cs="Arial"/>
                <w:sz w:val="22"/>
                <w:szCs w:val="22"/>
                <w:lang w:eastAsia="en-PH"/>
              </w:rPr>
              <w:t>11.7</w:t>
            </w:r>
            <w:r w:rsidR="00C03224" w:rsidRPr="00495094">
              <w:rPr>
                <w:rFonts w:ascii="Arial" w:hAnsi="Arial" w:cs="Arial"/>
                <w:sz w:val="22"/>
                <w:szCs w:val="22"/>
                <w:lang w:eastAsia="en-PH"/>
              </w:rPr>
              <w:t>86</w:t>
            </w:r>
          </w:p>
        </w:tc>
        <w:tc>
          <w:tcPr>
            <w:tcW w:w="1243" w:type="dxa"/>
            <w:tcBorders>
              <w:bottom w:val="single" w:sz="4" w:space="0" w:color="auto"/>
            </w:tcBorders>
            <w:shd w:val="clear" w:color="auto" w:fill="auto"/>
            <w:vAlign w:val="center"/>
            <w:hideMark/>
          </w:tcPr>
          <w:p w14:paraId="618ED67D" w14:textId="39BCF1B7" w:rsidR="00A30102" w:rsidRPr="00495094" w:rsidRDefault="005D6329" w:rsidP="005D6329">
            <w:pPr>
              <w:jc w:val="right"/>
              <w:rPr>
                <w:rFonts w:ascii="Arial" w:hAnsi="Arial" w:cs="Arial"/>
                <w:sz w:val="22"/>
                <w:szCs w:val="22"/>
                <w:lang w:eastAsia="en-PH"/>
              </w:rPr>
            </w:pPr>
            <w:r w:rsidRPr="00495094">
              <w:rPr>
                <w:rFonts w:ascii="Arial" w:hAnsi="Arial" w:cs="Arial"/>
                <w:sz w:val="22"/>
                <w:szCs w:val="22"/>
                <w:lang w:eastAsia="en-PH"/>
              </w:rPr>
              <w:t>2</w:t>
            </w:r>
            <w:r w:rsidR="00A30102" w:rsidRPr="00495094">
              <w:rPr>
                <w:rFonts w:ascii="Arial" w:hAnsi="Arial" w:cs="Arial"/>
                <w:sz w:val="22"/>
                <w:szCs w:val="22"/>
                <w:lang w:eastAsia="en-PH"/>
              </w:rPr>
              <w:t>.</w:t>
            </w:r>
            <w:r w:rsidRPr="00495094">
              <w:rPr>
                <w:rFonts w:ascii="Arial" w:hAnsi="Arial" w:cs="Arial"/>
                <w:sz w:val="22"/>
                <w:szCs w:val="22"/>
                <w:lang w:eastAsia="en-PH"/>
              </w:rPr>
              <w:t>09</w:t>
            </w:r>
            <w:r w:rsidR="005F110C" w:rsidRPr="00495094">
              <w:rPr>
                <w:rFonts w:ascii="Arial" w:hAnsi="Arial" w:cs="Arial"/>
                <w:sz w:val="22"/>
                <w:szCs w:val="22"/>
                <w:lang w:eastAsia="en-PH"/>
              </w:rPr>
              <w:t>8</w:t>
            </w:r>
          </w:p>
        </w:tc>
      </w:tr>
      <w:tr w:rsidR="00A30102" w:rsidRPr="00495094" w14:paraId="00948114" w14:textId="77777777" w:rsidTr="00972AC9">
        <w:trPr>
          <w:trHeight w:val="22"/>
        </w:trPr>
        <w:tc>
          <w:tcPr>
            <w:tcW w:w="5704" w:type="dxa"/>
            <w:tcBorders>
              <w:top w:val="single" w:sz="4" w:space="0" w:color="auto"/>
              <w:bottom w:val="double" w:sz="4" w:space="0" w:color="auto"/>
            </w:tcBorders>
            <w:shd w:val="clear" w:color="auto" w:fill="auto"/>
            <w:vAlign w:val="center"/>
            <w:hideMark/>
          </w:tcPr>
          <w:p w14:paraId="60526792" w14:textId="77777777" w:rsidR="00A30102" w:rsidRPr="00495094" w:rsidRDefault="00A30102" w:rsidP="00972AC9">
            <w:pPr>
              <w:pStyle w:val="ListParagraph"/>
              <w:tabs>
                <w:tab w:val="clear" w:pos="1526"/>
              </w:tabs>
              <w:rPr>
                <w:lang w:eastAsia="en-PH"/>
              </w:rPr>
            </w:pPr>
            <w:r w:rsidRPr="00495094">
              <w:rPr>
                <w:lang w:eastAsia="en-PH"/>
              </w:rPr>
              <w:t> </w:t>
            </w:r>
          </w:p>
        </w:tc>
        <w:tc>
          <w:tcPr>
            <w:tcW w:w="1417" w:type="dxa"/>
            <w:tcBorders>
              <w:top w:val="single" w:sz="4" w:space="0" w:color="auto"/>
              <w:bottom w:val="double" w:sz="4" w:space="0" w:color="auto"/>
            </w:tcBorders>
            <w:shd w:val="clear" w:color="auto" w:fill="auto"/>
            <w:vAlign w:val="center"/>
          </w:tcPr>
          <w:p w14:paraId="545C3803" w14:textId="454C0259" w:rsidR="00A30102" w:rsidRPr="00495094" w:rsidRDefault="005D6329" w:rsidP="00C03224">
            <w:pPr>
              <w:jc w:val="right"/>
              <w:rPr>
                <w:rFonts w:ascii="Arial" w:hAnsi="Arial" w:cs="Arial"/>
                <w:sz w:val="22"/>
                <w:szCs w:val="22"/>
                <w:lang w:eastAsia="en-PH"/>
              </w:rPr>
            </w:pPr>
            <w:r w:rsidRPr="00495094">
              <w:rPr>
                <w:rFonts w:ascii="Arial" w:hAnsi="Arial" w:cs="Arial"/>
                <w:sz w:val="22"/>
                <w:szCs w:val="22"/>
                <w:lang w:eastAsia="en-PH"/>
              </w:rPr>
              <w:t>1,8</w:t>
            </w:r>
            <w:r w:rsidR="00C03224" w:rsidRPr="00495094">
              <w:rPr>
                <w:rFonts w:ascii="Arial" w:hAnsi="Arial" w:cs="Arial"/>
                <w:sz w:val="22"/>
                <w:szCs w:val="22"/>
                <w:lang w:eastAsia="en-PH"/>
              </w:rPr>
              <w:t>5</w:t>
            </w:r>
            <w:r w:rsidRPr="00495094">
              <w:rPr>
                <w:rFonts w:ascii="Arial" w:hAnsi="Arial" w:cs="Arial"/>
                <w:sz w:val="22"/>
                <w:szCs w:val="22"/>
                <w:lang w:eastAsia="en-PH"/>
              </w:rPr>
              <w:t>4.3</w:t>
            </w:r>
            <w:r w:rsidR="00C03224" w:rsidRPr="00495094">
              <w:rPr>
                <w:rFonts w:ascii="Arial" w:hAnsi="Arial" w:cs="Arial"/>
                <w:sz w:val="22"/>
                <w:szCs w:val="22"/>
                <w:lang w:eastAsia="en-PH"/>
              </w:rPr>
              <w:t>34</w:t>
            </w:r>
          </w:p>
        </w:tc>
        <w:tc>
          <w:tcPr>
            <w:tcW w:w="1243" w:type="dxa"/>
            <w:tcBorders>
              <w:top w:val="single" w:sz="4" w:space="0" w:color="auto"/>
              <w:bottom w:val="double" w:sz="4" w:space="0" w:color="auto"/>
            </w:tcBorders>
            <w:shd w:val="clear" w:color="auto" w:fill="auto"/>
            <w:vAlign w:val="center"/>
            <w:hideMark/>
          </w:tcPr>
          <w:p w14:paraId="70DD9B1C" w14:textId="234DA9C4" w:rsidR="00A30102" w:rsidRPr="00495094" w:rsidRDefault="005D6329" w:rsidP="00A30102">
            <w:pPr>
              <w:jc w:val="right"/>
              <w:rPr>
                <w:rFonts w:ascii="Arial" w:hAnsi="Arial" w:cs="Arial"/>
                <w:sz w:val="22"/>
                <w:szCs w:val="22"/>
                <w:lang w:eastAsia="en-PH"/>
              </w:rPr>
            </w:pPr>
            <w:r w:rsidRPr="00495094">
              <w:rPr>
                <w:rFonts w:ascii="Arial" w:hAnsi="Arial" w:cs="Arial"/>
                <w:sz w:val="22"/>
                <w:szCs w:val="22"/>
                <w:lang w:eastAsia="en-PH"/>
              </w:rPr>
              <w:t>0.06</w:t>
            </w:r>
            <w:r w:rsidR="005F110C" w:rsidRPr="00495094">
              <w:rPr>
                <w:rFonts w:ascii="Arial" w:hAnsi="Arial" w:cs="Arial"/>
                <w:sz w:val="22"/>
                <w:szCs w:val="22"/>
                <w:lang w:eastAsia="en-PH"/>
              </w:rPr>
              <w:t>1</w:t>
            </w:r>
          </w:p>
        </w:tc>
      </w:tr>
    </w:tbl>
    <w:p w14:paraId="53D56819" w14:textId="77777777" w:rsidR="009F31BE" w:rsidRPr="00495094" w:rsidRDefault="009F31BE" w:rsidP="006F0997">
      <w:pPr>
        <w:rPr>
          <w:rFonts w:ascii="Arial" w:hAnsi="Arial" w:cs="Arial"/>
          <w:i/>
          <w:iCs/>
          <w:sz w:val="22"/>
          <w:szCs w:val="22"/>
        </w:rPr>
      </w:pPr>
    </w:p>
    <w:p w14:paraId="415410AE" w14:textId="12EFCBDD" w:rsidR="00986EAF" w:rsidRPr="00495094" w:rsidRDefault="00986EAF" w:rsidP="006F0997">
      <w:pPr>
        <w:rPr>
          <w:rFonts w:ascii="Arial" w:eastAsia="Calibri" w:hAnsi="Arial" w:cs="Arial"/>
          <w:sz w:val="22"/>
          <w:szCs w:val="22"/>
        </w:rPr>
      </w:pPr>
      <w:r w:rsidRPr="00495094">
        <w:rPr>
          <w:rFonts w:ascii="Arial" w:hAnsi="Arial" w:cs="Arial"/>
          <w:sz w:val="22"/>
          <w:szCs w:val="22"/>
        </w:rPr>
        <w:t>The</w:t>
      </w:r>
      <w:r w:rsidRPr="00495094">
        <w:rPr>
          <w:rFonts w:ascii="Arial" w:eastAsia="Calibri" w:hAnsi="Arial" w:cs="Arial"/>
          <w:sz w:val="22"/>
          <w:szCs w:val="22"/>
        </w:rPr>
        <w:t xml:space="preserve"> Bank further classifies its </w:t>
      </w:r>
      <w:r w:rsidR="005028FF" w:rsidRPr="00495094">
        <w:rPr>
          <w:rFonts w:ascii="Arial" w:eastAsia="Calibri" w:hAnsi="Arial" w:cs="Arial"/>
          <w:sz w:val="22"/>
          <w:szCs w:val="22"/>
        </w:rPr>
        <w:t>NPL</w:t>
      </w:r>
      <w:r w:rsidRPr="00495094">
        <w:rPr>
          <w:rFonts w:ascii="Arial" w:eastAsia="Calibri" w:hAnsi="Arial" w:cs="Arial"/>
          <w:sz w:val="22"/>
          <w:szCs w:val="22"/>
        </w:rPr>
        <w:t xml:space="preserve"> into secured and unsecured (in million Pesos):</w:t>
      </w:r>
    </w:p>
    <w:p w14:paraId="5110B16F" w14:textId="77777777" w:rsidR="00986EAF" w:rsidRPr="00495094" w:rsidRDefault="00986EAF" w:rsidP="00986EAF">
      <w:pPr>
        <w:rPr>
          <w:rFonts w:ascii="Arial" w:eastAsia="Calibri" w:hAnsi="Arial" w:cs="Arial"/>
          <w:sz w:val="22"/>
          <w:szCs w:val="22"/>
        </w:rPr>
      </w:pPr>
    </w:p>
    <w:tbl>
      <w:tblPr>
        <w:tblpPr w:leftFromText="180" w:rightFromText="180" w:vertAnchor="text" w:horzAnchor="page" w:tblpX="2175" w:tblpY="-14"/>
        <w:tblW w:w="8375" w:type="dxa"/>
        <w:tblLayout w:type="fixed"/>
        <w:tblLook w:val="04A0" w:firstRow="1" w:lastRow="0" w:firstColumn="1" w:lastColumn="0" w:noHBand="0" w:noVBand="1"/>
      </w:tblPr>
      <w:tblGrid>
        <w:gridCol w:w="3402"/>
        <w:gridCol w:w="1259"/>
        <w:gridCol w:w="1259"/>
        <w:gridCol w:w="1259"/>
        <w:gridCol w:w="1196"/>
      </w:tblGrid>
      <w:tr w:rsidR="00495094" w:rsidRPr="00495094" w14:paraId="3E40B693" w14:textId="77777777" w:rsidTr="00972AC9">
        <w:trPr>
          <w:trHeight w:val="23"/>
        </w:trPr>
        <w:tc>
          <w:tcPr>
            <w:tcW w:w="3402" w:type="dxa"/>
            <w:tcBorders>
              <w:top w:val="single" w:sz="8" w:space="0" w:color="auto"/>
              <w:left w:val="nil"/>
              <w:bottom w:val="single" w:sz="8" w:space="0" w:color="auto"/>
              <w:right w:val="nil"/>
            </w:tcBorders>
            <w:shd w:val="clear" w:color="auto" w:fill="auto"/>
            <w:vAlign w:val="center"/>
            <w:hideMark/>
          </w:tcPr>
          <w:p w14:paraId="0873E172" w14:textId="77777777" w:rsidR="00986EAF" w:rsidRPr="00495094" w:rsidRDefault="00986EAF" w:rsidP="005A070F">
            <w:pPr>
              <w:rPr>
                <w:rFonts w:ascii="Arial" w:hAnsi="Arial" w:cs="Arial"/>
                <w:sz w:val="22"/>
                <w:szCs w:val="22"/>
                <w:lang w:val="en-PH" w:eastAsia="en-PH"/>
              </w:rPr>
            </w:pPr>
            <w:r w:rsidRPr="00495094">
              <w:rPr>
                <w:rFonts w:ascii="Arial" w:eastAsia="Calibri" w:hAnsi="Arial" w:cs="Arial"/>
                <w:sz w:val="22"/>
                <w:szCs w:val="22"/>
                <w:lang w:eastAsia="en-PH"/>
              </w:rPr>
              <w:t> </w:t>
            </w:r>
          </w:p>
        </w:tc>
        <w:tc>
          <w:tcPr>
            <w:tcW w:w="1259" w:type="dxa"/>
            <w:tcBorders>
              <w:top w:val="single" w:sz="8" w:space="0" w:color="auto"/>
              <w:left w:val="nil"/>
              <w:bottom w:val="single" w:sz="8" w:space="0" w:color="auto"/>
              <w:right w:val="nil"/>
            </w:tcBorders>
            <w:shd w:val="clear" w:color="auto" w:fill="auto"/>
            <w:vAlign w:val="center"/>
            <w:hideMark/>
          </w:tcPr>
          <w:p w14:paraId="609C7807" w14:textId="268952B9" w:rsidR="00986EAF" w:rsidRPr="00495094" w:rsidRDefault="003713DF" w:rsidP="005A070F">
            <w:pPr>
              <w:jc w:val="center"/>
              <w:rPr>
                <w:rFonts w:ascii="Arial" w:hAnsi="Arial" w:cs="Arial"/>
                <w:b/>
                <w:bCs/>
                <w:sz w:val="22"/>
                <w:szCs w:val="22"/>
                <w:lang w:val="en-PH" w:eastAsia="en-PH"/>
              </w:rPr>
            </w:pPr>
            <w:r w:rsidRPr="00495094">
              <w:rPr>
                <w:rFonts w:ascii="Arial" w:eastAsia="Calibri" w:hAnsi="Arial" w:cs="Arial"/>
                <w:b/>
                <w:bCs/>
                <w:sz w:val="22"/>
                <w:szCs w:val="22"/>
                <w:lang w:eastAsia="en-PH"/>
              </w:rPr>
              <w:t>2022</w:t>
            </w:r>
          </w:p>
        </w:tc>
        <w:tc>
          <w:tcPr>
            <w:tcW w:w="1259" w:type="dxa"/>
            <w:tcBorders>
              <w:top w:val="single" w:sz="8" w:space="0" w:color="auto"/>
              <w:left w:val="nil"/>
              <w:bottom w:val="single" w:sz="8" w:space="0" w:color="auto"/>
              <w:right w:val="nil"/>
            </w:tcBorders>
            <w:shd w:val="clear" w:color="auto" w:fill="auto"/>
            <w:vAlign w:val="center"/>
            <w:hideMark/>
          </w:tcPr>
          <w:p w14:paraId="6DB5856C" w14:textId="77777777" w:rsidR="00986EAF" w:rsidRPr="00495094" w:rsidRDefault="00986EAF" w:rsidP="005A070F">
            <w:pPr>
              <w:jc w:val="center"/>
              <w:rPr>
                <w:rFonts w:ascii="Arial" w:hAnsi="Arial" w:cs="Arial"/>
                <w:b/>
                <w:bCs/>
                <w:sz w:val="22"/>
                <w:szCs w:val="22"/>
                <w:lang w:val="en-PH" w:eastAsia="en-PH"/>
              </w:rPr>
            </w:pPr>
            <w:r w:rsidRPr="00495094">
              <w:rPr>
                <w:rFonts w:ascii="Arial" w:eastAsia="Calibri" w:hAnsi="Arial" w:cs="Arial"/>
                <w:b/>
                <w:bCs/>
                <w:sz w:val="22"/>
                <w:szCs w:val="22"/>
                <w:lang w:eastAsia="en-PH"/>
              </w:rPr>
              <w:t>Per cent</w:t>
            </w:r>
          </w:p>
        </w:tc>
        <w:tc>
          <w:tcPr>
            <w:tcW w:w="1259" w:type="dxa"/>
            <w:tcBorders>
              <w:top w:val="single" w:sz="8" w:space="0" w:color="auto"/>
              <w:left w:val="nil"/>
              <w:bottom w:val="single" w:sz="8" w:space="0" w:color="auto"/>
              <w:right w:val="nil"/>
            </w:tcBorders>
            <w:shd w:val="clear" w:color="auto" w:fill="auto"/>
            <w:vAlign w:val="center"/>
            <w:hideMark/>
          </w:tcPr>
          <w:p w14:paraId="67CC7B1D" w14:textId="714E3574" w:rsidR="00986EAF" w:rsidRPr="00495094" w:rsidRDefault="005D6329" w:rsidP="005A070F">
            <w:pPr>
              <w:jc w:val="center"/>
              <w:rPr>
                <w:rFonts w:ascii="Arial" w:hAnsi="Arial" w:cs="Arial"/>
                <w:b/>
                <w:bCs/>
                <w:sz w:val="22"/>
                <w:szCs w:val="22"/>
                <w:lang w:val="en-PH" w:eastAsia="en-PH"/>
              </w:rPr>
            </w:pPr>
            <w:r w:rsidRPr="00495094">
              <w:rPr>
                <w:rFonts w:ascii="Arial" w:hAnsi="Arial" w:cs="Arial"/>
                <w:b/>
                <w:bCs/>
                <w:sz w:val="22"/>
                <w:szCs w:val="22"/>
              </w:rPr>
              <w:t>2021</w:t>
            </w:r>
          </w:p>
        </w:tc>
        <w:tc>
          <w:tcPr>
            <w:tcW w:w="1196" w:type="dxa"/>
            <w:tcBorders>
              <w:top w:val="single" w:sz="8" w:space="0" w:color="auto"/>
              <w:left w:val="nil"/>
              <w:bottom w:val="single" w:sz="8" w:space="0" w:color="auto"/>
              <w:right w:val="nil"/>
            </w:tcBorders>
            <w:shd w:val="clear" w:color="auto" w:fill="auto"/>
            <w:vAlign w:val="center"/>
            <w:hideMark/>
          </w:tcPr>
          <w:p w14:paraId="2A9C038B" w14:textId="77777777" w:rsidR="00986EAF" w:rsidRPr="00495094" w:rsidRDefault="00986EAF" w:rsidP="005A070F">
            <w:pPr>
              <w:jc w:val="center"/>
              <w:rPr>
                <w:rFonts w:ascii="Arial" w:hAnsi="Arial" w:cs="Arial"/>
                <w:b/>
                <w:bCs/>
                <w:sz w:val="22"/>
                <w:szCs w:val="22"/>
              </w:rPr>
            </w:pPr>
            <w:r w:rsidRPr="00495094">
              <w:rPr>
                <w:rFonts w:ascii="Arial" w:hAnsi="Arial" w:cs="Arial"/>
                <w:b/>
                <w:bCs/>
                <w:sz w:val="22"/>
                <w:szCs w:val="22"/>
              </w:rPr>
              <w:t>Per cent</w:t>
            </w:r>
          </w:p>
        </w:tc>
      </w:tr>
      <w:tr w:rsidR="00495094" w:rsidRPr="00495094" w14:paraId="37324F38" w14:textId="77777777" w:rsidTr="00972AC9">
        <w:trPr>
          <w:trHeight w:val="23"/>
        </w:trPr>
        <w:tc>
          <w:tcPr>
            <w:tcW w:w="3402" w:type="dxa"/>
            <w:tcBorders>
              <w:top w:val="nil"/>
              <w:left w:val="nil"/>
              <w:bottom w:val="nil"/>
              <w:right w:val="nil"/>
            </w:tcBorders>
            <w:shd w:val="clear" w:color="auto" w:fill="auto"/>
            <w:vAlign w:val="center"/>
            <w:hideMark/>
          </w:tcPr>
          <w:p w14:paraId="53A8FF64" w14:textId="77777777" w:rsidR="00A35E0A" w:rsidRPr="00495094" w:rsidRDefault="00A35E0A" w:rsidP="00A35E0A">
            <w:pPr>
              <w:rPr>
                <w:rFonts w:ascii="Arial" w:hAnsi="Arial" w:cs="Arial"/>
                <w:sz w:val="22"/>
                <w:szCs w:val="22"/>
                <w:lang w:val="en-PH" w:eastAsia="en-PH"/>
              </w:rPr>
            </w:pPr>
            <w:r w:rsidRPr="00495094">
              <w:rPr>
                <w:rFonts w:ascii="Arial" w:eastAsia="Calibri" w:hAnsi="Arial" w:cs="Arial"/>
                <w:sz w:val="22"/>
                <w:szCs w:val="22"/>
                <w:lang w:eastAsia="en-PH"/>
              </w:rPr>
              <w:t>Secured</w:t>
            </w:r>
          </w:p>
        </w:tc>
        <w:tc>
          <w:tcPr>
            <w:tcW w:w="1259" w:type="dxa"/>
            <w:tcBorders>
              <w:top w:val="nil"/>
              <w:left w:val="nil"/>
              <w:bottom w:val="nil"/>
              <w:right w:val="nil"/>
            </w:tcBorders>
            <w:shd w:val="clear" w:color="auto" w:fill="auto"/>
            <w:vAlign w:val="center"/>
          </w:tcPr>
          <w:p w14:paraId="155A7EF1" w14:textId="00200DC1"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0</w:t>
            </w:r>
          </w:p>
        </w:tc>
        <w:tc>
          <w:tcPr>
            <w:tcW w:w="1259" w:type="dxa"/>
            <w:tcBorders>
              <w:top w:val="nil"/>
              <w:left w:val="nil"/>
              <w:bottom w:val="nil"/>
              <w:right w:val="nil"/>
            </w:tcBorders>
            <w:shd w:val="clear" w:color="auto" w:fill="auto"/>
            <w:vAlign w:val="center"/>
          </w:tcPr>
          <w:p w14:paraId="4BC48E56" w14:textId="1BD073D8"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0</w:t>
            </w:r>
          </w:p>
        </w:tc>
        <w:tc>
          <w:tcPr>
            <w:tcW w:w="1259" w:type="dxa"/>
            <w:tcBorders>
              <w:top w:val="nil"/>
              <w:left w:val="nil"/>
              <w:bottom w:val="nil"/>
              <w:right w:val="nil"/>
            </w:tcBorders>
            <w:shd w:val="clear" w:color="auto" w:fill="auto"/>
            <w:vAlign w:val="center"/>
            <w:hideMark/>
          </w:tcPr>
          <w:p w14:paraId="4E954837" w14:textId="096FD3DE"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0</w:t>
            </w:r>
          </w:p>
        </w:tc>
        <w:tc>
          <w:tcPr>
            <w:tcW w:w="1196" w:type="dxa"/>
            <w:tcBorders>
              <w:top w:val="nil"/>
              <w:left w:val="nil"/>
              <w:bottom w:val="nil"/>
              <w:right w:val="nil"/>
            </w:tcBorders>
            <w:shd w:val="clear" w:color="auto" w:fill="auto"/>
            <w:vAlign w:val="center"/>
            <w:hideMark/>
          </w:tcPr>
          <w:p w14:paraId="5000510D" w14:textId="31174C96"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0</w:t>
            </w:r>
          </w:p>
        </w:tc>
      </w:tr>
      <w:tr w:rsidR="00495094" w:rsidRPr="00495094" w14:paraId="7A75D021" w14:textId="77777777" w:rsidTr="00972AC9">
        <w:trPr>
          <w:trHeight w:val="23"/>
        </w:trPr>
        <w:tc>
          <w:tcPr>
            <w:tcW w:w="3402" w:type="dxa"/>
            <w:tcBorders>
              <w:top w:val="nil"/>
              <w:left w:val="nil"/>
              <w:bottom w:val="single" w:sz="8" w:space="0" w:color="auto"/>
              <w:right w:val="nil"/>
            </w:tcBorders>
            <w:shd w:val="clear" w:color="auto" w:fill="auto"/>
            <w:vAlign w:val="center"/>
            <w:hideMark/>
          </w:tcPr>
          <w:p w14:paraId="2015D59D" w14:textId="77777777" w:rsidR="00A35E0A" w:rsidRPr="00495094" w:rsidRDefault="00A35E0A" w:rsidP="00A35E0A">
            <w:pPr>
              <w:rPr>
                <w:rFonts w:ascii="Arial" w:hAnsi="Arial" w:cs="Arial"/>
                <w:sz w:val="22"/>
                <w:szCs w:val="22"/>
                <w:lang w:val="en-PH" w:eastAsia="en-PH"/>
              </w:rPr>
            </w:pPr>
            <w:r w:rsidRPr="00495094">
              <w:rPr>
                <w:rFonts w:ascii="Arial" w:eastAsia="Calibri" w:hAnsi="Arial" w:cs="Arial"/>
                <w:sz w:val="22"/>
                <w:szCs w:val="22"/>
                <w:lang w:eastAsia="en-PH"/>
              </w:rPr>
              <w:t>Unsecured</w:t>
            </w:r>
          </w:p>
        </w:tc>
        <w:tc>
          <w:tcPr>
            <w:tcW w:w="1259" w:type="dxa"/>
            <w:tcBorders>
              <w:top w:val="nil"/>
              <w:left w:val="nil"/>
              <w:bottom w:val="single" w:sz="8" w:space="0" w:color="auto"/>
              <w:right w:val="nil"/>
            </w:tcBorders>
            <w:shd w:val="clear" w:color="auto" w:fill="auto"/>
            <w:vAlign w:val="center"/>
          </w:tcPr>
          <w:p w14:paraId="00B09958" w14:textId="5655F5A8" w:rsidR="00A35E0A" w:rsidRPr="00495094" w:rsidRDefault="005D6329" w:rsidP="00223411">
            <w:pPr>
              <w:jc w:val="right"/>
              <w:rPr>
                <w:rFonts w:ascii="Arial" w:hAnsi="Arial" w:cs="Arial"/>
                <w:sz w:val="22"/>
                <w:szCs w:val="22"/>
                <w:lang w:val="en-PH" w:eastAsia="en-PH"/>
              </w:rPr>
            </w:pPr>
            <w:r w:rsidRPr="00495094">
              <w:rPr>
                <w:rFonts w:ascii="Arial" w:hAnsi="Arial" w:cs="Arial"/>
                <w:sz w:val="22"/>
                <w:szCs w:val="22"/>
                <w:lang w:val="en-PH" w:eastAsia="en-PH"/>
              </w:rPr>
              <w:t>11.251</w:t>
            </w:r>
          </w:p>
        </w:tc>
        <w:tc>
          <w:tcPr>
            <w:tcW w:w="1259" w:type="dxa"/>
            <w:tcBorders>
              <w:top w:val="nil"/>
              <w:left w:val="nil"/>
              <w:bottom w:val="single" w:sz="8" w:space="0" w:color="auto"/>
              <w:right w:val="nil"/>
            </w:tcBorders>
            <w:shd w:val="clear" w:color="auto" w:fill="auto"/>
            <w:vAlign w:val="center"/>
          </w:tcPr>
          <w:p w14:paraId="11F76604" w14:textId="4EE43277"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100</w:t>
            </w:r>
          </w:p>
        </w:tc>
        <w:tc>
          <w:tcPr>
            <w:tcW w:w="1259" w:type="dxa"/>
            <w:tcBorders>
              <w:top w:val="nil"/>
              <w:left w:val="nil"/>
              <w:bottom w:val="single" w:sz="8" w:space="0" w:color="auto"/>
              <w:right w:val="nil"/>
            </w:tcBorders>
            <w:shd w:val="clear" w:color="auto" w:fill="auto"/>
            <w:vAlign w:val="center"/>
            <w:hideMark/>
          </w:tcPr>
          <w:p w14:paraId="5B115EE6" w14:textId="4D438AAF" w:rsidR="00A35E0A" w:rsidRPr="00495094" w:rsidRDefault="005D6329" w:rsidP="005D6329">
            <w:pPr>
              <w:jc w:val="right"/>
              <w:rPr>
                <w:rFonts w:ascii="Arial" w:hAnsi="Arial" w:cs="Arial"/>
                <w:sz w:val="22"/>
                <w:szCs w:val="22"/>
                <w:lang w:val="en-PH" w:eastAsia="en-PH"/>
              </w:rPr>
            </w:pPr>
            <w:r w:rsidRPr="00495094">
              <w:rPr>
                <w:rFonts w:ascii="Arial" w:hAnsi="Arial" w:cs="Arial"/>
                <w:sz w:val="22"/>
                <w:szCs w:val="22"/>
                <w:lang w:val="en-PH" w:eastAsia="en-PH"/>
              </w:rPr>
              <w:t>2.159</w:t>
            </w:r>
          </w:p>
        </w:tc>
        <w:tc>
          <w:tcPr>
            <w:tcW w:w="1196" w:type="dxa"/>
            <w:tcBorders>
              <w:top w:val="nil"/>
              <w:left w:val="nil"/>
              <w:bottom w:val="single" w:sz="8" w:space="0" w:color="auto"/>
              <w:right w:val="nil"/>
            </w:tcBorders>
            <w:shd w:val="clear" w:color="auto" w:fill="auto"/>
            <w:vAlign w:val="center"/>
            <w:hideMark/>
          </w:tcPr>
          <w:p w14:paraId="447292C8" w14:textId="174AF185" w:rsidR="00A35E0A" w:rsidRPr="00495094" w:rsidRDefault="00A35E0A" w:rsidP="00A35E0A">
            <w:pPr>
              <w:jc w:val="right"/>
              <w:rPr>
                <w:rFonts w:ascii="Arial" w:hAnsi="Arial" w:cs="Arial"/>
                <w:sz w:val="22"/>
                <w:szCs w:val="22"/>
                <w:lang w:val="en-PH" w:eastAsia="en-PH"/>
              </w:rPr>
            </w:pPr>
            <w:r w:rsidRPr="00495094">
              <w:rPr>
                <w:rFonts w:ascii="Arial" w:hAnsi="Arial" w:cs="Arial"/>
                <w:sz w:val="22"/>
                <w:szCs w:val="22"/>
                <w:lang w:val="en-PH" w:eastAsia="en-PH"/>
              </w:rPr>
              <w:t>100</w:t>
            </w:r>
          </w:p>
        </w:tc>
      </w:tr>
      <w:tr w:rsidR="00495094" w:rsidRPr="00495094" w14:paraId="58B8BE88" w14:textId="77777777" w:rsidTr="00972AC9">
        <w:trPr>
          <w:trHeight w:val="23"/>
        </w:trPr>
        <w:tc>
          <w:tcPr>
            <w:tcW w:w="3402" w:type="dxa"/>
            <w:tcBorders>
              <w:top w:val="nil"/>
              <w:left w:val="nil"/>
              <w:bottom w:val="double" w:sz="6" w:space="0" w:color="auto"/>
              <w:right w:val="nil"/>
            </w:tcBorders>
            <w:shd w:val="clear" w:color="auto" w:fill="auto"/>
            <w:vAlign w:val="center"/>
            <w:hideMark/>
          </w:tcPr>
          <w:p w14:paraId="14BE7B26" w14:textId="77777777" w:rsidR="00A35E0A" w:rsidRPr="00495094" w:rsidRDefault="00A35E0A" w:rsidP="00A35E0A">
            <w:pPr>
              <w:rPr>
                <w:rFonts w:ascii="Arial" w:hAnsi="Arial" w:cs="Arial"/>
                <w:sz w:val="22"/>
                <w:szCs w:val="22"/>
                <w:lang w:val="en-PH" w:eastAsia="en-PH"/>
              </w:rPr>
            </w:pPr>
            <w:r w:rsidRPr="00495094">
              <w:rPr>
                <w:rFonts w:ascii="Arial" w:eastAsia="Calibri" w:hAnsi="Arial" w:cs="Arial"/>
                <w:sz w:val="22"/>
                <w:szCs w:val="22"/>
                <w:lang w:eastAsia="en-PH"/>
              </w:rPr>
              <w:t> </w:t>
            </w:r>
          </w:p>
        </w:tc>
        <w:tc>
          <w:tcPr>
            <w:tcW w:w="1259" w:type="dxa"/>
            <w:tcBorders>
              <w:top w:val="nil"/>
              <w:left w:val="nil"/>
              <w:bottom w:val="double" w:sz="6" w:space="0" w:color="auto"/>
              <w:right w:val="nil"/>
            </w:tcBorders>
            <w:shd w:val="clear" w:color="auto" w:fill="auto"/>
            <w:vAlign w:val="center"/>
          </w:tcPr>
          <w:p w14:paraId="6A872FB4" w14:textId="471AC7A0" w:rsidR="00A35E0A" w:rsidRPr="00495094" w:rsidRDefault="005D6329" w:rsidP="00A35E0A">
            <w:pPr>
              <w:jc w:val="right"/>
              <w:rPr>
                <w:rFonts w:ascii="Arial" w:hAnsi="Arial" w:cs="Arial"/>
                <w:sz w:val="22"/>
                <w:szCs w:val="22"/>
                <w:lang w:val="en-PH" w:eastAsia="en-PH"/>
              </w:rPr>
            </w:pPr>
            <w:r w:rsidRPr="00495094">
              <w:rPr>
                <w:rFonts w:ascii="Arial" w:hAnsi="Arial" w:cs="Arial"/>
                <w:sz w:val="22"/>
                <w:szCs w:val="22"/>
                <w:lang w:val="en-PH" w:eastAsia="en-PH"/>
              </w:rPr>
              <w:t>11.251</w:t>
            </w:r>
          </w:p>
        </w:tc>
        <w:tc>
          <w:tcPr>
            <w:tcW w:w="1259" w:type="dxa"/>
            <w:tcBorders>
              <w:top w:val="nil"/>
              <w:left w:val="nil"/>
              <w:bottom w:val="double" w:sz="6" w:space="0" w:color="auto"/>
              <w:right w:val="nil"/>
            </w:tcBorders>
            <w:shd w:val="clear" w:color="auto" w:fill="auto"/>
            <w:vAlign w:val="center"/>
          </w:tcPr>
          <w:p w14:paraId="5F3DF07E" w14:textId="3B5C6D6A" w:rsidR="00A35E0A" w:rsidRPr="00495094" w:rsidRDefault="00A35E0A" w:rsidP="00A35E0A">
            <w:pPr>
              <w:jc w:val="right"/>
              <w:rPr>
                <w:rFonts w:ascii="Arial" w:hAnsi="Arial" w:cs="Arial"/>
                <w:sz w:val="22"/>
                <w:szCs w:val="22"/>
                <w:lang w:val="en-PH" w:eastAsia="en-PH"/>
              </w:rPr>
            </w:pPr>
            <w:r w:rsidRPr="00495094">
              <w:rPr>
                <w:rFonts w:ascii="Arial" w:eastAsia="Calibri" w:hAnsi="Arial" w:cs="Arial"/>
                <w:sz w:val="22"/>
                <w:szCs w:val="22"/>
                <w:lang w:eastAsia="en-PH"/>
              </w:rPr>
              <w:t>100</w:t>
            </w:r>
          </w:p>
        </w:tc>
        <w:tc>
          <w:tcPr>
            <w:tcW w:w="1259" w:type="dxa"/>
            <w:tcBorders>
              <w:top w:val="nil"/>
              <w:left w:val="nil"/>
              <w:bottom w:val="double" w:sz="6" w:space="0" w:color="auto"/>
              <w:right w:val="nil"/>
            </w:tcBorders>
            <w:shd w:val="clear" w:color="auto" w:fill="auto"/>
            <w:vAlign w:val="center"/>
            <w:hideMark/>
          </w:tcPr>
          <w:p w14:paraId="66400563" w14:textId="2EC1CE0C" w:rsidR="00A35E0A" w:rsidRPr="00495094" w:rsidRDefault="005D6329" w:rsidP="005D6329">
            <w:pPr>
              <w:jc w:val="right"/>
              <w:rPr>
                <w:rFonts w:ascii="Arial" w:hAnsi="Arial" w:cs="Arial"/>
                <w:sz w:val="22"/>
                <w:szCs w:val="22"/>
                <w:lang w:val="en-PH" w:eastAsia="en-PH"/>
              </w:rPr>
            </w:pPr>
            <w:r w:rsidRPr="00495094">
              <w:rPr>
                <w:rFonts w:ascii="Arial" w:eastAsia="Calibri" w:hAnsi="Arial" w:cs="Arial"/>
                <w:sz w:val="22"/>
                <w:szCs w:val="22"/>
                <w:lang w:eastAsia="en-PH"/>
              </w:rPr>
              <w:t>2.159</w:t>
            </w:r>
          </w:p>
        </w:tc>
        <w:tc>
          <w:tcPr>
            <w:tcW w:w="1196" w:type="dxa"/>
            <w:tcBorders>
              <w:top w:val="nil"/>
              <w:left w:val="nil"/>
              <w:bottom w:val="double" w:sz="6" w:space="0" w:color="auto"/>
              <w:right w:val="nil"/>
            </w:tcBorders>
            <w:shd w:val="clear" w:color="auto" w:fill="auto"/>
            <w:vAlign w:val="center"/>
            <w:hideMark/>
          </w:tcPr>
          <w:p w14:paraId="411B8B38" w14:textId="1DD92624" w:rsidR="00A35E0A" w:rsidRPr="00495094" w:rsidRDefault="00A35E0A" w:rsidP="00A35E0A">
            <w:pPr>
              <w:jc w:val="right"/>
              <w:rPr>
                <w:rFonts w:ascii="Arial" w:hAnsi="Arial" w:cs="Arial"/>
                <w:sz w:val="22"/>
                <w:szCs w:val="22"/>
                <w:lang w:val="en-PH" w:eastAsia="en-PH"/>
              </w:rPr>
            </w:pPr>
            <w:r w:rsidRPr="00495094">
              <w:rPr>
                <w:rFonts w:ascii="Arial" w:eastAsia="Calibri" w:hAnsi="Arial" w:cs="Arial"/>
                <w:sz w:val="22"/>
                <w:szCs w:val="22"/>
                <w:lang w:eastAsia="en-PH"/>
              </w:rPr>
              <w:t>100</w:t>
            </w:r>
          </w:p>
        </w:tc>
      </w:tr>
    </w:tbl>
    <w:p w14:paraId="5474349D" w14:textId="77777777" w:rsidR="00986EAF" w:rsidRPr="00495094" w:rsidRDefault="00986EAF" w:rsidP="006F0997">
      <w:pPr>
        <w:rPr>
          <w:rFonts w:ascii="Arial" w:hAnsi="Arial" w:cs="Arial"/>
          <w:i/>
          <w:iCs/>
          <w:sz w:val="22"/>
          <w:szCs w:val="22"/>
        </w:rPr>
      </w:pPr>
      <w:r w:rsidRPr="00495094">
        <w:rPr>
          <w:rFonts w:ascii="Arial" w:hAnsi="Arial" w:cs="Arial"/>
          <w:i/>
          <w:iCs/>
          <w:sz w:val="22"/>
          <w:szCs w:val="22"/>
        </w:rPr>
        <w:t xml:space="preserve">Credit Stress Test </w:t>
      </w:r>
    </w:p>
    <w:p w14:paraId="09135BE1" w14:textId="77777777" w:rsidR="00986EAF" w:rsidRPr="00495094" w:rsidRDefault="00986EAF" w:rsidP="006F0997">
      <w:pPr>
        <w:rPr>
          <w:rFonts w:ascii="Arial" w:hAnsi="Arial" w:cs="Arial"/>
          <w:sz w:val="22"/>
          <w:szCs w:val="22"/>
        </w:rPr>
      </w:pPr>
    </w:p>
    <w:p w14:paraId="63DE4682" w14:textId="2E250A1D" w:rsidR="00A35E0A" w:rsidRPr="00495094" w:rsidRDefault="00C0126B" w:rsidP="006F0997">
      <w:pPr>
        <w:rPr>
          <w:rFonts w:ascii="Arial" w:hAnsi="Arial" w:cs="Arial"/>
          <w:sz w:val="22"/>
          <w:szCs w:val="22"/>
        </w:rPr>
      </w:pPr>
      <w:r w:rsidRPr="00495094">
        <w:rPr>
          <w:rFonts w:ascii="Arial" w:hAnsi="Arial" w:cs="Arial"/>
          <w:sz w:val="22"/>
          <w:szCs w:val="22"/>
        </w:rPr>
        <w:t xml:space="preserve">The Bank </w:t>
      </w:r>
      <w:r w:rsidR="00707066" w:rsidRPr="00495094">
        <w:rPr>
          <w:rFonts w:ascii="Arial" w:hAnsi="Arial" w:cs="Arial"/>
          <w:sz w:val="22"/>
          <w:szCs w:val="22"/>
        </w:rPr>
        <w:t>regularly conducts stress testing of individual large exposure and its loan portfolio taking into account plausible risk events with high probability of occurrence. Utilizing such scenarios with documented assumptions, tests are done to determine the magnitude of impact on the loan portfolio, on the Credit R</w:t>
      </w:r>
      <w:r w:rsidRPr="00495094">
        <w:rPr>
          <w:rFonts w:ascii="Arial" w:hAnsi="Arial" w:cs="Arial"/>
          <w:sz w:val="22"/>
          <w:szCs w:val="22"/>
        </w:rPr>
        <w:t xml:space="preserve">isk </w:t>
      </w:r>
      <w:r w:rsidR="00707066" w:rsidRPr="00495094">
        <w:rPr>
          <w:rFonts w:ascii="Arial" w:hAnsi="Arial" w:cs="Arial"/>
          <w:sz w:val="22"/>
          <w:szCs w:val="22"/>
        </w:rPr>
        <w:t>W</w:t>
      </w:r>
      <w:r w:rsidRPr="00495094">
        <w:rPr>
          <w:rFonts w:ascii="Arial" w:hAnsi="Arial" w:cs="Arial"/>
          <w:sz w:val="22"/>
          <w:szCs w:val="22"/>
        </w:rPr>
        <w:t xml:space="preserve">eighted </w:t>
      </w:r>
      <w:r w:rsidR="00707066" w:rsidRPr="00495094">
        <w:rPr>
          <w:rFonts w:ascii="Arial" w:hAnsi="Arial" w:cs="Arial"/>
          <w:sz w:val="22"/>
          <w:szCs w:val="22"/>
        </w:rPr>
        <w:t>A</w:t>
      </w:r>
      <w:r w:rsidR="008B403C" w:rsidRPr="00495094">
        <w:rPr>
          <w:rFonts w:ascii="Arial" w:hAnsi="Arial" w:cs="Arial"/>
          <w:sz w:val="22"/>
          <w:szCs w:val="22"/>
        </w:rPr>
        <w:t>ssets</w:t>
      </w:r>
      <w:r w:rsidR="00707066" w:rsidRPr="00495094">
        <w:rPr>
          <w:rFonts w:ascii="Arial" w:hAnsi="Arial" w:cs="Arial"/>
          <w:sz w:val="22"/>
          <w:szCs w:val="22"/>
        </w:rPr>
        <w:t xml:space="preserve">, and finally on the Common Equity Tier 1 (CET1) Ratio. The stress testing also includes prescribed regulatory tests such as uniform stress test and REST. Likewise, various loan portfolio assessment and review are conducted to determine impact of a certain event and government regulation to the Parent’s loan portfolio, past due ratio and CET 1. Results of the stress testing, together with the contingency plans, </w:t>
      </w:r>
      <w:r w:rsidR="009E1015" w:rsidRPr="00495094">
        <w:rPr>
          <w:rFonts w:ascii="Arial" w:hAnsi="Arial" w:cs="Arial"/>
          <w:sz w:val="22"/>
          <w:szCs w:val="22"/>
        </w:rPr>
        <w:t>are validated by the CRMD and escalated to CGRMC.</w:t>
      </w:r>
    </w:p>
    <w:p w14:paraId="5E01B786" w14:textId="77777777" w:rsidR="003F5E20" w:rsidRPr="00495094" w:rsidRDefault="003F5E20" w:rsidP="006F0997">
      <w:pPr>
        <w:rPr>
          <w:rFonts w:ascii="Arial" w:hAnsi="Arial" w:cs="Arial"/>
          <w:sz w:val="22"/>
          <w:szCs w:val="22"/>
        </w:rPr>
      </w:pPr>
    </w:p>
    <w:p w14:paraId="6DA974A8" w14:textId="77777777" w:rsidR="00986EAF" w:rsidRPr="00495094" w:rsidRDefault="00986EAF" w:rsidP="006F0997">
      <w:pPr>
        <w:rPr>
          <w:rFonts w:ascii="Arial" w:hAnsi="Arial" w:cs="Arial"/>
          <w:i/>
          <w:iCs/>
          <w:sz w:val="22"/>
          <w:szCs w:val="22"/>
        </w:rPr>
      </w:pPr>
      <w:r w:rsidRPr="00495094">
        <w:rPr>
          <w:rFonts w:ascii="Arial" w:hAnsi="Arial" w:cs="Arial"/>
          <w:i/>
          <w:iCs/>
          <w:sz w:val="22"/>
          <w:szCs w:val="22"/>
        </w:rPr>
        <w:t>Risk</w:t>
      </w:r>
      <w:r w:rsidRPr="00495094">
        <w:rPr>
          <w:rFonts w:ascii="Arial" w:eastAsia="Calibri" w:hAnsi="Arial" w:cs="Arial"/>
          <w:i/>
          <w:iCs/>
          <w:sz w:val="22"/>
          <w:szCs w:val="22"/>
        </w:rPr>
        <w:t xml:space="preserve"> concentrations</w:t>
      </w:r>
      <w:r w:rsidRPr="00495094">
        <w:rPr>
          <w:rFonts w:ascii="Arial" w:hAnsi="Arial" w:cs="Arial"/>
          <w:i/>
          <w:iCs/>
          <w:sz w:val="22"/>
          <w:szCs w:val="22"/>
        </w:rPr>
        <w:t xml:space="preserve"> of the maximum exposure to credit risk </w:t>
      </w:r>
    </w:p>
    <w:p w14:paraId="18ED318B" w14:textId="77777777" w:rsidR="00986EAF" w:rsidRPr="00495094" w:rsidRDefault="00986EAF" w:rsidP="006F0997">
      <w:pPr>
        <w:rPr>
          <w:rFonts w:ascii="Arial" w:eastAsia="Calibri" w:hAnsi="Arial" w:cs="Arial"/>
          <w:sz w:val="22"/>
          <w:szCs w:val="22"/>
        </w:rPr>
      </w:pPr>
    </w:p>
    <w:p w14:paraId="6BBE6D92"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Concentrations arise when a number of counterparties are engaged in similar business activities, or activities in the same geographic region, or have similar economic features that would cause their ability to meet contractual obligations to be similarly affected by changes in economic, political or other conditions.</w:t>
      </w:r>
    </w:p>
    <w:p w14:paraId="037E61F8" w14:textId="77777777" w:rsidR="00707066" w:rsidRPr="00495094" w:rsidRDefault="00707066" w:rsidP="00707066">
      <w:pPr>
        <w:rPr>
          <w:rFonts w:ascii="Arial" w:hAnsi="Arial" w:cs="Arial"/>
          <w:sz w:val="22"/>
          <w:szCs w:val="22"/>
          <w:lang w:val="en-PH"/>
        </w:rPr>
      </w:pPr>
    </w:p>
    <w:p w14:paraId="2281182D"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The Bank has established concrete guidelines and procedures relative to managing, monitoring and reporting large exposures and credit risk concentrations in accordance with the rules and regulations issued by the BSP.</w:t>
      </w:r>
    </w:p>
    <w:p w14:paraId="4D8928D9" w14:textId="77777777" w:rsidR="00707066" w:rsidRPr="00495094" w:rsidRDefault="00707066" w:rsidP="00707066">
      <w:pPr>
        <w:jc w:val="left"/>
        <w:rPr>
          <w:rFonts w:ascii="Arial" w:hAnsi="Arial" w:cs="Arial"/>
          <w:sz w:val="22"/>
          <w:szCs w:val="22"/>
          <w:lang w:val="en-PH"/>
        </w:rPr>
      </w:pPr>
    </w:p>
    <w:p w14:paraId="21F0F702" w14:textId="0F1D8AD1"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 xml:space="preserve">Overall credit risk management oversight is a function of the </w:t>
      </w:r>
      <w:r w:rsidR="005028FF" w:rsidRPr="00495094">
        <w:rPr>
          <w:rFonts w:ascii="Arial" w:hAnsi="Arial" w:cs="Arial"/>
          <w:sz w:val="22"/>
          <w:szCs w:val="22"/>
          <w:lang w:val="en-PH"/>
        </w:rPr>
        <w:t>BOD</w:t>
      </w:r>
      <w:r w:rsidRPr="00495094">
        <w:rPr>
          <w:rFonts w:ascii="Arial" w:hAnsi="Arial" w:cs="Arial"/>
          <w:sz w:val="22"/>
          <w:szCs w:val="22"/>
          <w:lang w:val="en-PH"/>
        </w:rPr>
        <w:t xml:space="preserve">-level </w:t>
      </w:r>
      <w:r w:rsidR="00011BDF" w:rsidRPr="00495094">
        <w:rPr>
          <w:rFonts w:ascii="Arial" w:hAnsi="Arial" w:cs="Arial"/>
          <w:sz w:val="22"/>
          <w:szCs w:val="22"/>
          <w:lang w:val="en-PH"/>
        </w:rPr>
        <w:t>CGRMC</w:t>
      </w:r>
      <w:r w:rsidRPr="00495094">
        <w:rPr>
          <w:rFonts w:ascii="Arial" w:hAnsi="Arial" w:cs="Arial"/>
          <w:sz w:val="22"/>
          <w:szCs w:val="22"/>
          <w:lang w:val="en-PH"/>
        </w:rPr>
        <w:t xml:space="preserve">. In general, mitigation measures on credit risks are implemented at various levels.  </w:t>
      </w:r>
    </w:p>
    <w:p w14:paraId="3440C9F7" w14:textId="77777777" w:rsidR="00707066" w:rsidRPr="00495094" w:rsidRDefault="00707066" w:rsidP="00707066">
      <w:pPr>
        <w:rPr>
          <w:rFonts w:ascii="Arial" w:hAnsi="Arial" w:cs="Arial"/>
          <w:sz w:val="22"/>
          <w:szCs w:val="22"/>
          <w:lang w:val="en-PH"/>
        </w:rPr>
      </w:pPr>
    </w:p>
    <w:p w14:paraId="3490D216" w14:textId="4F23B3F6"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As of December</w:t>
      </w:r>
      <w:r w:rsidR="00A35E0A" w:rsidRPr="00495094">
        <w:rPr>
          <w:rFonts w:ascii="Arial" w:eastAsia="Calibri" w:hAnsi="Arial" w:cs="Arial"/>
          <w:sz w:val="22"/>
          <w:szCs w:val="22"/>
          <w:lang w:val="en-PH"/>
        </w:rPr>
        <w:t xml:space="preserve"> 31, 202</w:t>
      </w:r>
      <w:r w:rsidR="00AC1645" w:rsidRPr="00495094">
        <w:rPr>
          <w:rFonts w:ascii="Arial" w:eastAsia="Calibri" w:hAnsi="Arial" w:cs="Arial"/>
          <w:sz w:val="22"/>
          <w:szCs w:val="22"/>
          <w:lang w:val="en-PH"/>
        </w:rPr>
        <w:t>2</w:t>
      </w:r>
      <w:r w:rsidRPr="00495094">
        <w:rPr>
          <w:rFonts w:ascii="Arial" w:eastAsia="Calibri" w:hAnsi="Arial" w:cs="Arial"/>
          <w:sz w:val="22"/>
          <w:szCs w:val="22"/>
          <w:lang w:val="en-PH"/>
        </w:rPr>
        <w:t>, the Bank’s</w:t>
      </w:r>
      <w:r w:rsidRPr="00495094">
        <w:rPr>
          <w:rFonts w:ascii="Arial" w:hAnsi="Arial" w:cs="Arial"/>
          <w:sz w:val="22"/>
          <w:szCs w:val="22"/>
          <w:lang w:val="en-PH"/>
        </w:rPr>
        <w:t xml:space="preserve"> qualifying capital covering credit risk is P</w:t>
      </w:r>
      <w:r w:rsidR="00AC1645" w:rsidRPr="00495094">
        <w:rPr>
          <w:rFonts w:ascii="Arial" w:hAnsi="Arial" w:cs="Arial"/>
          <w:sz w:val="22"/>
          <w:szCs w:val="22"/>
          <w:lang w:val="en-PH"/>
        </w:rPr>
        <w:t>1.3 b</w:t>
      </w:r>
      <w:r w:rsidRPr="00495094">
        <w:rPr>
          <w:rFonts w:ascii="Arial" w:hAnsi="Arial" w:cs="Arial"/>
          <w:sz w:val="22"/>
          <w:szCs w:val="22"/>
          <w:lang w:val="en-PH"/>
        </w:rPr>
        <w:t>illion.  On the other hand, the SBL is pegged at P</w:t>
      </w:r>
      <w:r w:rsidR="00AC1645" w:rsidRPr="00495094">
        <w:rPr>
          <w:rFonts w:ascii="Arial" w:hAnsi="Arial" w:cs="Arial"/>
          <w:sz w:val="22"/>
          <w:szCs w:val="22"/>
          <w:lang w:val="en-PH"/>
        </w:rPr>
        <w:t>325</w:t>
      </w:r>
      <w:r w:rsidRPr="00495094">
        <w:rPr>
          <w:rFonts w:ascii="Arial" w:hAnsi="Arial" w:cs="Arial"/>
          <w:sz w:val="22"/>
          <w:szCs w:val="22"/>
          <w:lang w:val="en-PH"/>
        </w:rPr>
        <w:t xml:space="preserve"> million for direct lending. </w:t>
      </w:r>
    </w:p>
    <w:p w14:paraId="645CFA0B" w14:textId="45733CB2" w:rsidR="00C50159" w:rsidRPr="00495094" w:rsidRDefault="00986EAF" w:rsidP="006F0997">
      <w:pPr>
        <w:rPr>
          <w:rFonts w:ascii="Arial" w:hAnsi="Arial" w:cs="Arial"/>
          <w:sz w:val="22"/>
          <w:szCs w:val="22"/>
        </w:rPr>
      </w:pPr>
      <w:r w:rsidRPr="00495094">
        <w:rPr>
          <w:rFonts w:ascii="Arial" w:hAnsi="Arial" w:cs="Arial"/>
          <w:sz w:val="22"/>
          <w:szCs w:val="22"/>
        </w:rPr>
        <w:t xml:space="preserve">. </w:t>
      </w:r>
    </w:p>
    <w:p w14:paraId="3D70A032" w14:textId="77777777" w:rsidR="007F2D39" w:rsidRPr="00495094" w:rsidRDefault="007F2D39" w:rsidP="007F2D39">
      <w:pPr>
        <w:rPr>
          <w:rFonts w:ascii="Arial" w:hAnsi="Arial" w:cs="Arial"/>
          <w:sz w:val="22"/>
          <w:szCs w:val="22"/>
        </w:rPr>
      </w:pPr>
      <w:r w:rsidRPr="00495094">
        <w:rPr>
          <w:rFonts w:ascii="Arial" w:hAnsi="Arial" w:cs="Arial"/>
          <w:sz w:val="22"/>
          <w:szCs w:val="22"/>
        </w:rPr>
        <w:t xml:space="preserve">The following shows the concentration of credit risk by industry at the reporting date (in </w:t>
      </w:r>
      <w:r w:rsidR="0007319D" w:rsidRPr="00495094">
        <w:rPr>
          <w:rFonts w:ascii="Arial" w:hAnsi="Arial" w:cs="Arial"/>
          <w:sz w:val="22"/>
          <w:szCs w:val="22"/>
        </w:rPr>
        <w:t xml:space="preserve">million </w:t>
      </w:r>
      <w:r w:rsidR="002B6960" w:rsidRPr="00495094">
        <w:rPr>
          <w:rFonts w:ascii="Arial" w:hAnsi="Arial" w:cs="Arial"/>
          <w:sz w:val="22"/>
          <w:szCs w:val="22"/>
        </w:rPr>
        <w:t>P</w:t>
      </w:r>
      <w:r w:rsidR="0007319D" w:rsidRPr="00495094">
        <w:rPr>
          <w:rFonts w:ascii="Arial" w:hAnsi="Arial" w:cs="Arial"/>
          <w:sz w:val="22"/>
          <w:szCs w:val="22"/>
        </w:rPr>
        <w:t>esos</w:t>
      </w:r>
      <w:r w:rsidRPr="00495094">
        <w:rPr>
          <w:rFonts w:ascii="Arial" w:hAnsi="Arial" w:cs="Arial"/>
          <w:sz w:val="22"/>
          <w:szCs w:val="22"/>
        </w:rPr>
        <w:t>):</w:t>
      </w:r>
    </w:p>
    <w:p w14:paraId="24BE6858" w14:textId="77777777" w:rsidR="007F2D39" w:rsidRPr="00495094" w:rsidRDefault="007F2D39" w:rsidP="007F2D39">
      <w:pPr>
        <w:rPr>
          <w:rFonts w:ascii="Arial" w:hAnsi="Arial" w:cs="Arial"/>
          <w:sz w:val="22"/>
          <w:szCs w:val="22"/>
        </w:rPr>
      </w:pPr>
    </w:p>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70"/>
        <w:gridCol w:w="353"/>
        <w:gridCol w:w="1102"/>
        <w:gridCol w:w="353"/>
        <w:gridCol w:w="889"/>
      </w:tblGrid>
      <w:tr w:rsidR="00495094" w:rsidRPr="00495094" w14:paraId="50041C41" w14:textId="77777777" w:rsidTr="00972AC9">
        <w:trPr>
          <w:trHeight w:val="57"/>
          <w:tblHeader/>
        </w:trPr>
        <w:tc>
          <w:tcPr>
            <w:tcW w:w="5670" w:type="dxa"/>
            <w:tcBorders>
              <w:top w:val="single" w:sz="8" w:space="0" w:color="auto"/>
              <w:left w:val="nil"/>
              <w:bottom w:val="single" w:sz="8" w:space="0" w:color="auto"/>
              <w:right w:val="nil"/>
            </w:tcBorders>
            <w:shd w:val="clear" w:color="auto" w:fill="auto"/>
            <w:vAlign w:val="center"/>
          </w:tcPr>
          <w:p w14:paraId="122A2E04" w14:textId="77777777" w:rsidR="005A2521" w:rsidRPr="00495094" w:rsidRDefault="005A2521" w:rsidP="001F3786">
            <w:pPr>
              <w:rPr>
                <w:rFonts w:ascii="Arial" w:hAnsi="Arial" w:cs="Arial"/>
                <w:sz w:val="22"/>
                <w:szCs w:val="22"/>
                <w:lang w:val="en-PH" w:eastAsia="en-PH"/>
              </w:rPr>
            </w:pPr>
            <w:r w:rsidRPr="00495094">
              <w:rPr>
                <w:rFonts w:ascii="Arial" w:hAnsi="Arial" w:cs="Arial"/>
                <w:sz w:val="22"/>
                <w:szCs w:val="22"/>
              </w:rPr>
              <w:t> </w:t>
            </w:r>
          </w:p>
        </w:tc>
        <w:tc>
          <w:tcPr>
            <w:tcW w:w="353" w:type="dxa"/>
            <w:tcBorders>
              <w:top w:val="single" w:sz="8" w:space="0" w:color="auto"/>
              <w:left w:val="nil"/>
              <w:bottom w:val="single" w:sz="8" w:space="0" w:color="auto"/>
              <w:right w:val="nil"/>
            </w:tcBorders>
            <w:shd w:val="clear" w:color="auto" w:fill="auto"/>
            <w:vAlign w:val="center"/>
          </w:tcPr>
          <w:p w14:paraId="77340F5D" w14:textId="77777777" w:rsidR="005A2521" w:rsidRPr="00495094" w:rsidRDefault="005A2521" w:rsidP="001F3786">
            <w:pPr>
              <w:jc w:val="center"/>
              <w:rPr>
                <w:rFonts w:ascii="Arial" w:hAnsi="Arial" w:cs="Arial"/>
                <w:b/>
                <w:bCs/>
                <w:sz w:val="22"/>
                <w:szCs w:val="22"/>
              </w:rPr>
            </w:pPr>
            <w:r w:rsidRPr="00495094">
              <w:rPr>
                <w:rFonts w:ascii="Arial" w:hAnsi="Arial" w:cs="Arial"/>
                <w:b/>
                <w:bCs/>
                <w:sz w:val="22"/>
                <w:szCs w:val="22"/>
              </w:rPr>
              <w:t> </w:t>
            </w:r>
          </w:p>
        </w:tc>
        <w:tc>
          <w:tcPr>
            <w:tcW w:w="1102" w:type="dxa"/>
            <w:tcBorders>
              <w:top w:val="single" w:sz="8" w:space="0" w:color="auto"/>
              <w:left w:val="nil"/>
              <w:bottom w:val="single" w:sz="8" w:space="0" w:color="auto"/>
              <w:right w:val="nil"/>
            </w:tcBorders>
            <w:shd w:val="clear" w:color="auto" w:fill="auto"/>
            <w:vAlign w:val="center"/>
          </w:tcPr>
          <w:p w14:paraId="233E60AB" w14:textId="1C451F39" w:rsidR="005A2521" w:rsidRPr="00495094" w:rsidRDefault="005A2521" w:rsidP="00AC1645">
            <w:pPr>
              <w:jc w:val="center"/>
              <w:rPr>
                <w:rFonts w:ascii="Arial" w:hAnsi="Arial" w:cs="Arial"/>
                <w:b/>
                <w:bCs/>
                <w:sz w:val="22"/>
                <w:szCs w:val="22"/>
              </w:rPr>
            </w:pPr>
            <w:r w:rsidRPr="00495094">
              <w:rPr>
                <w:rFonts w:ascii="Arial" w:hAnsi="Arial" w:cs="Arial"/>
                <w:b/>
                <w:bCs/>
                <w:sz w:val="22"/>
                <w:szCs w:val="22"/>
              </w:rPr>
              <w:t>20</w:t>
            </w:r>
            <w:r w:rsidR="00A35E0A" w:rsidRPr="00495094">
              <w:rPr>
                <w:rFonts w:ascii="Arial" w:hAnsi="Arial" w:cs="Arial"/>
                <w:b/>
                <w:bCs/>
                <w:sz w:val="22"/>
                <w:szCs w:val="22"/>
              </w:rPr>
              <w:t>2</w:t>
            </w:r>
            <w:r w:rsidR="00AC1645" w:rsidRPr="00495094">
              <w:rPr>
                <w:rFonts w:ascii="Arial" w:hAnsi="Arial" w:cs="Arial"/>
                <w:b/>
                <w:bCs/>
                <w:sz w:val="22"/>
                <w:szCs w:val="22"/>
              </w:rPr>
              <w:t>2</w:t>
            </w:r>
          </w:p>
        </w:tc>
        <w:tc>
          <w:tcPr>
            <w:tcW w:w="353" w:type="dxa"/>
            <w:tcBorders>
              <w:top w:val="single" w:sz="8" w:space="0" w:color="auto"/>
              <w:left w:val="nil"/>
              <w:bottom w:val="single" w:sz="8" w:space="0" w:color="auto"/>
              <w:right w:val="nil"/>
            </w:tcBorders>
            <w:shd w:val="clear" w:color="auto" w:fill="auto"/>
            <w:vAlign w:val="center"/>
          </w:tcPr>
          <w:p w14:paraId="2B0F3998" w14:textId="77777777" w:rsidR="005A2521" w:rsidRPr="00495094" w:rsidRDefault="005A2521" w:rsidP="001F3786">
            <w:pPr>
              <w:jc w:val="center"/>
              <w:rPr>
                <w:rFonts w:ascii="Arial" w:hAnsi="Arial" w:cs="Arial"/>
                <w:b/>
                <w:bCs/>
                <w:sz w:val="22"/>
                <w:szCs w:val="22"/>
              </w:rPr>
            </w:pPr>
            <w:r w:rsidRPr="00495094">
              <w:rPr>
                <w:rFonts w:ascii="Arial" w:hAnsi="Arial" w:cs="Arial"/>
                <w:b/>
                <w:bCs/>
                <w:sz w:val="22"/>
                <w:szCs w:val="22"/>
              </w:rPr>
              <w:t> </w:t>
            </w:r>
          </w:p>
        </w:tc>
        <w:tc>
          <w:tcPr>
            <w:tcW w:w="889" w:type="dxa"/>
            <w:tcBorders>
              <w:top w:val="single" w:sz="8" w:space="0" w:color="auto"/>
              <w:left w:val="nil"/>
              <w:bottom w:val="single" w:sz="8" w:space="0" w:color="auto"/>
              <w:right w:val="nil"/>
            </w:tcBorders>
            <w:shd w:val="clear" w:color="auto" w:fill="auto"/>
            <w:vAlign w:val="center"/>
          </w:tcPr>
          <w:p w14:paraId="02213BE9" w14:textId="69CFF9AA" w:rsidR="005A2521" w:rsidRPr="00495094" w:rsidRDefault="00A35E0A" w:rsidP="00AC1645">
            <w:pPr>
              <w:jc w:val="center"/>
              <w:rPr>
                <w:rFonts w:ascii="Arial" w:hAnsi="Arial" w:cs="Arial"/>
                <w:b/>
                <w:bCs/>
                <w:sz w:val="22"/>
                <w:szCs w:val="22"/>
              </w:rPr>
            </w:pPr>
            <w:r w:rsidRPr="00495094">
              <w:rPr>
                <w:rFonts w:ascii="Arial" w:hAnsi="Arial" w:cs="Arial"/>
                <w:b/>
                <w:bCs/>
                <w:sz w:val="22"/>
                <w:szCs w:val="22"/>
              </w:rPr>
              <w:t>202</w:t>
            </w:r>
            <w:r w:rsidR="00AC1645" w:rsidRPr="00495094">
              <w:rPr>
                <w:rFonts w:ascii="Arial" w:hAnsi="Arial" w:cs="Arial"/>
                <w:b/>
                <w:bCs/>
                <w:sz w:val="22"/>
                <w:szCs w:val="22"/>
              </w:rPr>
              <w:t>1</w:t>
            </w:r>
          </w:p>
        </w:tc>
      </w:tr>
      <w:tr w:rsidR="00495094" w:rsidRPr="00495094" w14:paraId="030F4C45" w14:textId="77777777" w:rsidTr="00972AC9">
        <w:trPr>
          <w:trHeight w:val="57"/>
        </w:trPr>
        <w:tc>
          <w:tcPr>
            <w:tcW w:w="5670" w:type="dxa"/>
            <w:tcBorders>
              <w:top w:val="single" w:sz="8" w:space="0" w:color="auto"/>
              <w:left w:val="nil"/>
              <w:bottom w:val="single" w:sz="8" w:space="0" w:color="auto"/>
              <w:right w:val="nil"/>
            </w:tcBorders>
            <w:shd w:val="clear" w:color="auto" w:fill="auto"/>
            <w:vAlign w:val="center"/>
          </w:tcPr>
          <w:p w14:paraId="73547A26" w14:textId="77777777" w:rsidR="00A35E0A" w:rsidRPr="00495094" w:rsidRDefault="00A35E0A" w:rsidP="00A35E0A">
            <w:pPr>
              <w:rPr>
                <w:rFonts w:ascii="Arial" w:hAnsi="Arial" w:cs="Arial"/>
                <w:sz w:val="22"/>
                <w:szCs w:val="22"/>
              </w:rPr>
            </w:pPr>
            <w:r w:rsidRPr="00495094">
              <w:rPr>
                <w:rFonts w:ascii="Arial" w:hAnsi="Arial" w:cs="Arial"/>
                <w:sz w:val="22"/>
                <w:szCs w:val="22"/>
              </w:rPr>
              <w:t xml:space="preserve">Salary-Based General–Purpose Consumption Loans       </w:t>
            </w:r>
          </w:p>
        </w:tc>
        <w:tc>
          <w:tcPr>
            <w:tcW w:w="353" w:type="dxa"/>
            <w:tcBorders>
              <w:top w:val="single" w:sz="8" w:space="0" w:color="auto"/>
              <w:left w:val="nil"/>
              <w:bottom w:val="single" w:sz="8" w:space="0" w:color="auto"/>
              <w:right w:val="nil"/>
            </w:tcBorders>
            <w:shd w:val="clear" w:color="auto" w:fill="auto"/>
            <w:vAlign w:val="center"/>
          </w:tcPr>
          <w:p w14:paraId="0ADF0B6E" w14:textId="77777777" w:rsidR="00A35E0A" w:rsidRPr="00495094" w:rsidRDefault="00A35E0A" w:rsidP="00A35E0A">
            <w:pPr>
              <w:rPr>
                <w:rFonts w:ascii="Arial" w:hAnsi="Arial" w:cs="Arial"/>
                <w:sz w:val="22"/>
                <w:szCs w:val="22"/>
              </w:rPr>
            </w:pPr>
          </w:p>
        </w:tc>
        <w:tc>
          <w:tcPr>
            <w:tcW w:w="1102" w:type="dxa"/>
            <w:tcBorders>
              <w:top w:val="single" w:sz="8" w:space="0" w:color="auto"/>
              <w:left w:val="nil"/>
              <w:bottom w:val="single" w:sz="8" w:space="0" w:color="auto"/>
              <w:right w:val="nil"/>
            </w:tcBorders>
            <w:shd w:val="clear" w:color="auto" w:fill="auto"/>
            <w:vAlign w:val="center"/>
          </w:tcPr>
          <w:p w14:paraId="29C625BF" w14:textId="4A0904DC" w:rsidR="00A35E0A" w:rsidRPr="00495094" w:rsidRDefault="00AC1645" w:rsidP="00A35E0A">
            <w:pPr>
              <w:jc w:val="right"/>
              <w:rPr>
                <w:rFonts w:ascii="Arial" w:hAnsi="Arial" w:cs="Arial"/>
                <w:sz w:val="22"/>
                <w:szCs w:val="22"/>
              </w:rPr>
            </w:pPr>
            <w:r w:rsidRPr="00495094">
              <w:rPr>
                <w:rFonts w:ascii="Arial" w:hAnsi="Arial" w:cs="Arial"/>
                <w:sz w:val="22"/>
                <w:szCs w:val="22"/>
              </w:rPr>
              <w:t>1,866.12</w:t>
            </w:r>
          </w:p>
        </w:tc>
        <w:tc>
          <w:tcPr>
            <w:tcW w:w="353" w:type="dxa"/>
            <w:tcBorders>
              <w:top w:val="single" w:sz="8" w:space="0" w:color="auto"/>
              <w:left w:val="nil"/>
              <w:bottom w:val="single" w:sz="8" w:space="0" w:color="auto"/>
              <w:right w:val="nil"/>
            </w:tcBorders>
            <w:shd w:val="clear" w:color="auto" w:fill="auto"/>
            <w:vAlign w:val="center"/>
          </w:tcPr>
          <w:p w14:paraId="31A2DF5D" w14:textId="77777777" w:rsidR="00A35E0A" w:rsidRPr="00495094" w:rsidRDefault="00A35E0A" w:rsidP="00A35E0A">
            <w:pPr>
              <w:jc w:val="right"/>
              <w:rPr>
                <w:rFonts w:ascii="Arial" w:hAnsi="Arial" w:cs="Arial"/>
                <w:sz w:val="22"/>
                <w:szCs w:val="22"/>
              </w:rPr>
            </w:pPr>
          </w:p>
        </w:tc>
        <w:tc>
          <w:tcPr>
            <w:tcW w:w="889" w:type="dxa"/>
            <w:tcBorders>
              <w:top w:val="single" w:sz="8" w:space="0" w:color="auto"/>
              <w:left w:val="nil"/>
              <w:bottom w:val="single" w:sz="8" w:space="0" w:color="auto"/>
              <w:right w:val="nil"/>
            </w:tcBorders>
            <w:shd w:val="clear" w:color="auto" w:fill="auto"/>
            <w:vAlign w:val="center"/>
          </w:tcPr>
          <w:p w14:paraId="505FB77E" w14:textId="3CC2E32F" w:rsidR="00A35E0A" w:rsidRPr="00495094" w:rsidRDefault="00AC1645" w:rsidP="00AC1645">
            <w:pPr>
              <w:jc w:val="right"/>
              <w:rPr>
                <w:rFonts w:ascii="Arial" w:hAnsi="Arial" w:cs="Arial"/>
                <w:sz w:val="22"/>
                <w:szCs w:val="22"/>
              </w:rPr>
            </w:pPr>
            <w:r w:rsidRPr="00495094">
              <w:rPr>
                <w:rFonts w:ascii="Arial" w:hAnsi="Arial" w:cs="Arial"/>
                <w:sz w:val="22"/>
                <w:szCs w:val="22"/>
              </w:rPr>
              <w:t>2</w:t>
            </w:r>
            <w:r w:rsidR="00A35E0A" w:rsidRPr="00495094">
              <w:rPr>
                <w:rFonts w:ascii="Arial" w:hAnsi="Arial" w:cs="Arial"/>
                <w:sz w:val="22"/>
                <w:szCs w:val="22"/>
              </w:rPr>
              <w:t>.</w:t>
            </w:r>
            <w:r w:rsidRPr="00495094">
              <w:rPr>
                <w:rFonts w:ascii="Arial" w:hAnsi="Arial" w:cs="Arial"/>
                <w:sz w:val="22"/>
                <w:szCs w:val="22"/>
              </w:rPr>
              <w:t>159</w:t>
            </w:r>
          </w:p>
        </w:tc>
      </w:tr>
      <w:tr w:rsidR="00495094" w:rsidRPr="00495094" w14:paraId="08733F61" w14:textId="77777777" w:rsidTr="00972AC9">
        <w:trPr>
          <w:trHeight w:val="57"/>
        </w:trPr>
        <w:tc>
          <w:tcPr>
            <w:tcW w:w="5670" w:type="dxa"/>
            <w:tcBorders>
              <w:top w:val="single" w:sz="8" w:space="0" w:color="auto"/>
              <w:left w:val="nil"/>
              <w:bottom w:val="nil"/>
              <w:right w:val="nil"/>
            </w:tcBorders>
            <w:shd w:val="clear" w:color="auto" w:fill="auto"/>
            <w:vAlign w:val="center"/>
          </w:tcPr>
          <w:p w14:paraId="523EBE1F" w14:textId="77777777" w:rsidR="00A35E0A" w:rsidRPr="00495094" w:rsidRDefault="00A35E0A" w:rsidP="00A35E0A">
            <w:pPr>
              <w:jc w:val="right"/>
              <w:rPr>
                <w:rFonts w:ascii="Arial" w:hAnsi="Arial" w:cs="Arial"/>
                <w:sz w:val="22"/>
                <w:szCs w:val="22"/>
              </w:rPr>
            </w:pPr>
          </w:p>
        </w:tc>
        <w:tc>
          <w:tcPr>
            <w:tcW w:w="353" w:type="dxa"/>
            <w:tcBorders>
              <w:top w:val="single" w:sz="8" w:space="0" w:color="auto"/>
              <w:left w:val="nil"/>
              <w:bottom w:val="nil"/>
              <w:right w:val="nil"/>
            </w:tcBorders>
            <w:shd w:val="clear" w:color="auto" w:fill="auto"/>
            <w:vAlign w:val="center"/>
          </w:tcPr>
          <w:p w14:paraId="4C109AE8" w14:textId="77777777" w:rsidR="00A35E0A" w:rsidRPr="00495094" w:rsidRDefault="00A35E0A" w:rsidP="00A35E0A">
            <w:pPr>
              <w:rPr>
                <w:rFonts w:ascii="Arial" w:hAnsi="Arial" w:cs="Arial"/>
                <w:sz w:val="22"/>
                <w:szCs w:val="22"/>
              </w:rPr>
            </w:pPr>
          </w:p>
        </w:tc>
        <w:tc>
          <w:tcPr>
            <w:tcW w:w="1102" w:type="dxa"/>
            <w:tcBorders>
              <w:top w:val="single" w:sz="8" w:space="0" w:color="auto"/>
              <w:left w:val="nil"/>
              <w:bottom w:val="nil"/>
              <w:right w:val="nil"/>
            </w:tcBorders>
            <w:shd w:val="clear" w:color="auto" w:fill="auto"/>
            <w:vAlign w:val="center"/>
          </w:tcPr>
          <w:p w14:paraId="3413827C" w14:textId="019E8118" w:rsidR="00A35E0A" w:rsidRPr="00495094" w:rsidRDefault="00AC1645" w:rsidP="00A35E0A">
            <w:pPr>
              <w:jc w:val="right"/>
              <w:rPr>
                <w:rFonts w:ascii="Arial" w:hAnsi="Arial" w:cs="Arial"/>
                <w:sz w:val="22"/>
                <w:szCs w:val="22"/>
              </w:rPr>
            </w:pPr>
            <w:r w:rsidRPr="00495094">
              <w:rPr>
                <w:rFonts w:ascii="Arial" w:hAnsi="Arial" w:cs="Arial"/>
                <w:sz w:val="22"/>
                <w:szCs w:val="22"/>
              </w:rPr>
              <w:t>1,866.12</w:t>
            </w:r>
          </w:p>
        </w:tc>
        <w:tc>
          <w:tcPr>
            <w:tcW w:w="353" w:type="dxa"/>
            <w:tcBorders>
              <w:top w:val="single" w:sz="8" w:space="0" w:color="auto"/>
              <w:left w:val="nil"/>
              <w:bottom w:val="nil"/>
              <w:right w:val="nil"/>
            </w:tcBorders>
            <w:shd w:val="clear" w:color="auto" w:fill="auto"/>
            <w:vAlign w:val="center"/>
          </w:tcPr>
          <w:p w14:paraId="6B819E78" w14:textId="77777777" w:rsidR="00A35E0A" w:rsidRPr="00495094" w:rsidRDefault="00A35E0A" w:rsidP="00A35E0A">
            <w:pPr>
              <w:jc w:val="right"/>
              <w:rPr>
                <w:rFonts w:ascii="Arial" w:hAnsi="Arial" w:cs="Arial"/>
                <w:sz w:val="22"/>
                <w:szCs w:val="22"/>
              </w:rPr>
            </w:pPr>
          </w:p>
        </w:tc>
        <w:tc>
          <w:tcPr>
            <w:tcW w:w="889" w:type="dxa"/>
            <w:tcBorders>
              <w:top w:val="single" w:sz="8" w:space="0" w:color="auto"/>
              <w:left w:val="nil"/>
              <w:bottom w:val="nil"/>
              <w:right w:val="nil"/>
            </w:tcBorders>
            <w:shd w:val="clear" w:color="auto" w:fill="auto"/>
            <w:vAlign w:val="center"/>
          </w:tcPr>
          <w:p w14:paraId="66A9501C" w14:textId="0AF9857D" w:rsidR="00A35E0A" w:rsidRPr="00495094" w:rsidRDefault="00AC1645" w:rsidP="00AC1645">
            <w:pPr>
              <w:jc w:val="right"/>
              <w:rPr>
                <w:rFonts w:ascii="Arial" w:hAnsi="Arial" w:cs="Arial"/>
                <w:sz w:val="22"/>
                <w:szCs w:val="22"/>
              </w:rPr>
            </w:pPr>
            <w:r w:rsidRPr="00495094">
              <w:rPr>
                <w:rFonts w:ascii="Arial" w:hAnsi="Arial" w:cs="Arial"/>
                <w:sz w:val="22"/>
                <w:szCs w:val="22"/>
              </w:rPr>
              <w:t>2</w:t>
            </w:r>
            <w:r w:rsidR="00A35E0A" w:rsidRPr="00495094">
              <w:rPr>
                <w:rFonts w:ascii="Arial" w:hAnsi="Arial" w:cs="Arial"/>
                <w:sz w:val="22"/>
                <w:szCs w:val="22"/>
              </w:rPr>
              <w:t>.</w:t>
            </w:r>
            <w:r w:rsidRPr="00495094">
              <w:rPr>
                <w:rFonts w:ascii="Arial" w:hAnsi="Arial" w:cs="Arial"/>
                <w:sz w:val="22"/>
                <w:szCs w:val="22"/>
              </w:rPr>
              <w:t>159</w:t>
            </w:r>
          </w:p>
        </w:tc>
      </w:tr>
      <w:tr w:rsidR="00495094" w:rsidRPr="00495094" w14:paraId="65A47D71" w14:textId="77777777" w:rsidTr="00972AC9">
        <w:trPr>
          <w:trHeight w:val="57"/>
        </w:trPr>
        <w:tc>
          <w:tcPr>
            <w:tcW w:w="5670" w:type="dxa"/>
            <w:tcBorders>
              <w:top w:val="nil"/>
              <w:left w:val="nil"/>
              <w:bottom w:val="single" w:sz="8" w:space="0" w:color="auto"/>
              <w:right w:val="nil"/>
            </w:tcBorders>
            <w:shd w:val="clear" w:color="auto" w:fill="auto"/>
            <w:vAlign w:val="center"/>
          </w:tcPr>
          <w:p w14:paraId="485333B8" w14:textId="77777777" w:rsidR="00A35E0A" w:rsidRPr="00495094" w:rsidRDefault="00A35E0A" w:rsidP="00A35E0A">
            <w:pPr>
              <w:rPr>
                <w:rFonts w:ascii="Arial" w:hAnsi="Arial" w:cs="Arial"/>
                <w:sz w:val="22"/>
                <w:szCs w:val="22"/>
              </w:rPr>
            </w:pPr>
            <w:r w:rsidRPr="00495094">
              <w:rPr>
                <w:rFonts w:ascii="Arial" w:hAnsi="Arial" w:cs="Arial"/>
                <w:sz w:val="22"/>
                <w:szCs w:val="22"/>
              </w:rPr>
              <w:lastRenderedPageBreak/>
              <w:t>Allowance for Credit Losses</w:t>
            </w:r>
          </w:p>
        </w:tc>
        <w:tc>
          <w:tcPr>
            <w:tcW w:w="353" w:type="dxa"/>
            <w:tcBorders>
              <w:top w:val="nil"/>
              <w:left w:val="nil"/>
              <w:bottom w:val="single" w:sz="8" w:space="0" w:color="auto"/>
              <w:right w:val="nil"/>
            </w:tcBorders>
            <w:shd w:val="clear" w:color="auto" w:fill="auto"/>
            <w:vAlign w:val="center"/>
          </w:tcPr>
          <w:p w14:paraId="3AF3FE9F" w14:textId="77777777" w:rsidR="00A35E0A" w:rsidRPr="00495094" w:rsidRDefault="00A35E0A" w:rsidP="00A35E0A">
            <w:pPr>
              <w:jc w:val="right"/>
              <w:rPr>
                <w:rFonts w:ascii="Arial" w:hAnsi="Arial" w:cs="Arial"/>
                <w:sz w:val="22"/>
                <w:szCs w:val="22"/>
              </w:rPr>
            </w:pPr>
            <w:r w:rsidRPr="00495094">
              <w:rPr>
                <w:rFonts w:ascii="Arial" w:hAnsi="Arial" w:cs="Arial"/>
                <w:sz w:val="22"/>
                <w:szCs w:val="22"/>
              </w:rPr>
              <w:t> </w:t>
            </w:r>
          </w:p>
        </w:tc>
        <w:tc>
          <w:tcPr>
            <w:tcW w:w="1102" w:type="dxa"/>
            <w:tcBorders>
              <w:top w:val="nil"/>
              <w:left w:val="nil"/>
              <w:bottom w:val="single" w:sz="8" w:space="0" w:color="auto"/>
              <w:right w:val="nil"/>
            </w:tcBorders>
            <w:shd w:val="clear" w:color="auto" w:fill="auto"/>
            <w:vAlign w:val="center"/>
          </w:tcPr>
          <w:p w14:paraId="3D7BFF5D" w14:textId="74873FC3" w:rsidR="00A35E0A" w:rsidRPr="00495094" w:rsidRDefault="00A35E0A" w:rsidP="00C03224">
            <w:pPr>
              <w:ind w:right="-44"/>
              <w:jc w:val="right"/>
              <w:rPr>
                <w:rFonts w:ascii="Arial" w:hAnsi="Arial" w:cs="Arial"/>
                <w:sz w:val="22"/>
                <w:szCs w:val="22"/>
              </w:rPr>
            </w:pPr>
            <w:r w:rsidRPr="00495094">
              <w:rPr>
                <w:rFonts w:ascii="Arial" w:hAnsi="Arial" w:cs="Arial"/>
                <w:sz w:val="22"/>
                <w:szCs w:val="22"/>
              </w:rPr>
              <w:t>(</w:t>
            </w:r>
            <w:r w:rsidR="00C03224" w:rsidRPr="00495094">
              <w:rPr>
                <w:rFonts w:ascii="Arial" w:hAnsi="Arial" w:cs="Arial"/>
                <w:sz w:val="22"/>
                <w:szCs w:val="22"/>
              </w:rPr>
              <w:t>11</w:t>
            </w:r>
            <w:r w:rsidR="00223411" w:rsidRPr="00495094">
              <w:rPr>
                <w:rFonts w:ascii="Arial" w:hAnsi="Arial" w:cs="Arial"/>
                <w:sz w:val="22"/>
                <w:szCs w:val="22"/>
              </w:rPr>
              <w:t>.7</w:t>
            </w:r>
            <w:r w:rsidR="00C03224" w:rsidRPr="00495094">
              <w:rPr>
                <w:rFonts w:ascii="Arial" w:hAnsi="Arial" w:cs="Arial"/>
                <w:sz w:val="22"/>
                <w:szCs w:val="22"/>
              </w:rPr>
              <w:t>9</w:t>
            </w:r>
            <w:r w:rsidRPr="00495094">
              <w:rPr>
                <w:rFonts w:ascii="Arial" w:hAnsi="Arial" w:cs="Arial"/>
                <w:sz w:val="22"/>
                <w:szCs w:val="22"/>
              </w:rPr>
              <w:t>)</w:t>
            </w:r>
          </w:p>
        </w:tc>
        <w:tc>
          <w:tcPr>
            <w:tcW w:w="353" w:type="dxa"/>
            <w:tcBorders>
              <w:top w:val="nil"/>
              <w:left w:val="nil"/>
              <w:bottom w:val="single" w:sz="8" w:space="0" w:color="auto"/>
              <w:right w:val="nil"/>
            </w:tcBorders>
            <w:shd w:val="clear" w:color="auto" w:fill="auto"/>
            <w:vAlign w:val="center"/>
          </w:tcPr>
          <w:p w14:paraId="59007850" w14:textId="77777777" w:rsidR="00A35E0A" w:rsidRPr="00495094" w:rsidRDefault="00A35E0A" w:rsidP="00A35E0A">
            <w:pPr>
              <w:jc w:val="right"/>
              <w:rPr>
                <w:rFonts w:ascii="Arial" w:hAnsi="Arial" w:cs="Arial"/>
                <w:sz w:val="22"/>
                <w:szCs w:val="22"/>
              </w:rPr>
            </w:pPr>
            <w:r w:rsidRPr="00495094">
              <w:rPr>
                <w:rFonts w:ascii="Arial" w:hAnsi="Arial" w:cs="Arial"/>
                <w:sz w:val="22"/>
                <w:szCs w:val="22"/>
              </w:rPr>
              <w:t> </w:t>
            </w:r>
          </w:p>
        </w:tc>
        <w:tc>
          <w:tcPr>
            <w:tcW w:w="889" w:type="dxa"/>
            <w:tcBorders>
              <w:top w:val="nil"/>
              <w:left w:val="nil"/>
              <w:bottom w:val="single" w:sz="8" w:space="0" w:color="auto"/>
              <w:right w:val="nil"/>
            </w:tcBorders>
            <w:shd w:val="clear" w:color="auto" w:fill="auto"/>
            <w:vAlign w:val="center"/>
          </w:tcPr>
          <w:p w14:paraId="021473A0" w14:textId="04906362" w:rsidR="00A35E0A" w:rsidRPr="00495094" w:rsidRDefault="00A35E0A" w:rsidP="00AC1645">
            <w:pPr>
              <w:ind w:right="-44"/>
              <w:jc w:val="right"/>
              <w:rPr>
                <w:rFonts w:ascii="Arial" w:hAnsi="Arial" w:cs="Arial"/>
                <w:sz w:val="22"/>
                <w:szCs w:val="22"/>
              </w:rPr>
            </w:pPr>
            <w:r w:rsidRPr="00495094">
              <w:rPr>
                <w:rFonts w:ascii="Arial" w:hAnsi="Arial" w:cs="Arial"/>
                <w:sz w:val="22"/>
                <w:szCs w:val="22"/>
              </w:rPr>
              <w:t>(</w:t>
            </w:r>
            <w:r w:rsidR="00AC1645" w:rsidRPr="00495094">
              <w:rPr>
                <w:rFonts w:ascii="Arial" w:hAnsi="Arial" w:cs="Arial"/>
                <w:sz w:val="22"/>
                <w:szCs w:val="22"/>
              </w:rPr>
              <w:t>2</w:t>
            </w:r>
            <w:r w:rsidRPr="00495094">
              <w:rPr>
                <w:rFonts w:ascii="Arial" w:hAnsi="Arial" w:cs="Arial"/>
                <w:sz w:val="22"/>
                <w:szCs w:val="22"/>
              </w:rPr>
              <w:t>.</w:t>
            </w:r>
            <w:r w:rsidR="00AC1645" w:rsidRPr="00495094">
              <w:rPr>
                <w:rFonts w:ascii="Arial" w:hAnsi="Arial" w:cs="Arial"/>
                <w:sz w:val="22"/>
                <w:szCs w:val="22"/>
              </w:rPr>
              <w:t>09</w:t>
            </w:r>
            <w:r w:rsidR="001C1936" w:rsidRPr="00495094">
              <w:rPr>
                <w:rFonts w:ascii="Arial" w:hAnsi="Arial" w:cs="Arial"/>
                <w:sz w:val="22"/>
                <w:szCs w:val="22"/>
              </w:rPr>
              <w:t>8</w:t>
            </w:r>
            <w:r w:rsidRPr="00495094">
              <w:rPr>
                <w:rFonts w:ascii="Arial" w:hAnsi="Arial" w:cs="Arial"/>
                <w:sz w:val="22"/>
                <w:szCs w:val="22"/>
              </w:rPr>
              <w:t>)</w:t>
            </w:r>
          </w:p>
        </w:tc>
      </w:tr>
      <w:tr w:rsidR="00A35E0A" w:rsidRPr="00495094" w14:paraId="38AD0433" w14:textId="77777777" w:rsidTr="00972AC9">
        <w:trPr>
          <w:trHeight w:val="57"/>
        </w:trPr>
        <w:tc>
          <w:tcPr>
            <w:tcW w:w="5670" w:type="dxa"/>
            <w:tcBorders>
              <w:top w:val="nil"/>
              <w:left w:val="nil"/>
              <w:bottom w:val="double" w:sz="6" w:space="0" w:color="auto"/>
              <w:right w:val="nil"/>
            </w:tcBorders>
            <w:shd w:val="clear" w:color="auto" w:fill="auto"/>
            <w:vAlign w:val="center"/>
          </w:tcPr>
          <w:p w14:paraId="726D3A5B" w14:textId="77777777" w:rsidR="00A35E0A" w:rsidRPr="00495094" w:rsidRDefault="00A35E0A" w:rsidP="00A35E0A">
            <w:pPr>
              <w:rPr>
                <w:rFonts w:ascii="Arial" w:hAnsi="Arial" w:cs="Arial"/>
                <w:sz w:val="22"/>
                <w:szCs w:val="22"/>
              </w:rPr>
            </w:pPr>
            <w:r w:rsidRPr="00495094">
              <w:rPr>
                <w:rFonts w:ascii="Arial" w:hAnsi="Arial" w:cs="Arial"/>
                <w:sz w:val="22"/>
                <w:szCs w:val="22"/>
              </w:rPr>
              <w:t> </w:t>
            </w:r>
          </w:p>
        </w:tc>
        <w:tc>
          <w:tcPr>
            <w:tcW w:w="353" w:type="dxa"/>
            <w:tcBorders>
              <w:top w:val="nil"/>
              <w:left w:val="nil"/>
              <w:bottom w:val="double" w:sz="6" w:space="0" w:color="auto"/>
              <w:right w:val="nil"/>
            </w:tcBorders>
            <w:shd w:val="clear" w:color="auto" w:fill="auto"/>
            <w:vAlign w:val="center"/>
          </w:tcPr>
          <w:p w14:paraId="6364B1E3" w14:textId="77777777" w:rsidR="00A35E0A" w:rsidRPr="00495094" w:rsidRDefault="00A35E0A" w:rsidP="00A35E0A">
            <w:pPr>
              <w:jc w:val="right"/>
              <w:rPr>
                <w:rFonts w:ascii="Arial" w:hAnsi="Arial" w:cs="Arial"/>
                <w:sz w:val="22"/>
                <w:szCs w:val="22"/>
              </w:rPr>
            </w:pPr>
            <w:r w:rsidRPr="00495094">
              <w:rPr>
                <w:rFonts w:ascii="Arial" w:hAnsi="Arial" w:cs="Arial"/>
                <w:sz w:val="22"/>
                <w:szCs w:val="22"/>
              </w:rPr>
              <w:t> </w:t>
            </w:r>
          </w:p>
        </w:tc>
        <w:tc>
          <w:tcPr>
            <w:tcW w:w="1102" w:type="dxa"/>
            <w:tcBorders>
              <w:top w:val="nil"/>
              <w:left w:val="nil"/>
              <w:bottom w:val="double" w:sz="6" w:space="0" w:color="auto"/>
              <w:right w:val="nil"/>
            </w:tcBorders>
            <w:shd w:val="clear" w:color="auto" w:fill="auto"/>
            <w:vAlign w:val="center"/>
          </w:tcPr>
          <w:p w14:paraId="290942FC" w14:textId="7A27DBAA" w:rsidR="00A35E0A" w:rsidRPr="00495094" w:rsidRDefault="00AC1645" w:rsidP="00C03224">
            <w:pPr>
              <w:jc w:val="right"/>
              <w:rPr>
                <w:rFonts w:ascii="Arial" w:hAnsi="Arial" w:cs="Arial"/>
                <w:sz w:val="22"/>
                <w:szCs w:val="22"/>
              </w:rPr>
            </w:pPr>
            <w:r w:rsidRPr="00495094">
              <w:rPr>
                <w:rFonts w:ascii="Arial" w:hAnsi="Arial" w:cs="Arial"/>
                <w:sz w:val="22"/>
                <w:szCs w:val="22"/>
              </w:rPr>
              <w:t>1,8</w:t>
            </w:r>
            <w:r w:rsidR="00C03224" w:rsidRPr="00495094">
              <w:rPr>
                <w:rFonts w:ascii="Arial" w:hAnsi="Arial" w:cs="Arial"/>
                <w:sz w:val="22"/>
                <w:szCs w:val="22"/>
              </w:rPr>
              <w:t>5</w:t>
            </w:r>
            <w:r w:rsidRPr="00495094">
              <w:rPr>
                <w:rFonts w:ascii="Arial" w:hAnsi="Arial" w:cs="Arial"/>
                <w:sz w:val="22"/>
                <w:szCs w:val="22"/>
              </w:rPr>
              <w:t>4.</w:t>
            </w:r>
            <w:r w:rsidR="00C03224" w:rsidRPr="00495094">
              <w:rPr>
                <w:rFonts w:ascii="Arial" w:hAnsi="Arial" w:cs="Arial"/>
                <w:sz w:val="22"/>
                <w:szCs w:val="22"/>
              </w:rPr>
              <w:t>33</w:t>
            </w:r>
          </w:p>
        </w:tc>
        <w:tc>
          <w:tcPr>
            <w:tcW w:w="353" w:type="dxa"/>
            <w:tcBorders>
              <w:top w:val="nil"/>
              <w:left w:val="nil"/>
              <w:bottom w:val="double" w:sz="6" w:space="0" w:color="auto"/>
              <w:right w:val="nil"/>
            </w:tcBorders>
            <w:shd w:val="clear" w:color="auto" w:fill="auto"/>
            <w:vAlign w:val="center"/>
          </w:tcPr>
          <w:p w14:paraId="635B7824" w14:textId="77777777" w:rsidR="00A35E0A" w:rsidRPr="00495094" w:rsidRDefault="00A35E0A" w:rsidP="00A35E0A">
            <w:pPr>
              <w:jc w:val="right"/>
              <w:rPr>
                <w:rFonts w:ascii="Arial" w:hAnsi="Arial" w:cs="Arial"/>
                <w:sz w:val="22"/>
                <w:szCs w:val="22"/>
              </w:rPr>
            </w:pPr>
            <w:r w:rsidRPr="00495094">
              <w:rPr>
                <w:rFonts w:ascii="Arial" w:hAnsi="Arial" w:cs="Arial"/>
                <w:sz w:val="22"/>
                <w:szCs w:val="22"/>
              </w:rPr>
              <w:t> </w:t>
            </w:r>
          </w:p>
        </w:tc>
        <w:tc>
          <w:tcPr>
            <w:tcW w:w="889" w:type="dxa"/>
            <w:tcBorders>
              <w:top w:val="nil"/>
              <w:left w:val="nil"/>
              <w:bottom w:val="double" w:sz="6" w:space="0" w:color="auto"/>
              <w:right w:val="nil"/>
            </w:tcBorders>
            <w:shd w:val="clear" w:color="auto" w:fill="auto"/>
            <w:vAlign w:val="center"/>
          </w:tcPr>
          <w:p w14:paraId="471CD891" w14:textId="14AAEC47" w:rsidR="00A35E0A" w:rsidRPr="00495094" w:rsidRDefault="00AC1645" w:rsidP="00AC1645">
            <w:pPr>
              <w:jc w:val="right"/>
              <w:rPr>
                <w:rFonts w:ascii="Arial" w:hAnsi="Arial" w:cs="Arial"/>
                <w:sz w:val="22"/>
                <w:szCs w:val="22"/>
              </w:rPr>
            </w:pPr>
            <w:r w:rsidRPr="00495094">
              <w:rPr>
                <w:rFonts w:ascii="Arial" w:hAnsi="Arial" w:cs="Arial"/>
                <w:sz w:val="22"/>
                <w:szCs w:val="22"/>
              </w:rPr>
              <w:t>0</w:t>
            </w:r>
            <w:r w:rsidR="00A35E0A" w:rsidRPr="00495094">
              <w:rPr>
                <w:rFonts w:ascii="Arial" w:hAnsi="Arial" w:cs="Arial"/>
                <w:sz w:val="22"/>
                <w:szCs w:val="22"/>
              </w:rPr>
              <w:t>.</w:t>
            </w:r>
            <w:r w:rsidRPr="00495094">
              <w:rPr>
                <w:rFonts w:ascii="Arial" w:hAnsi="Arial" w:cs="Arial"/>
                <w:sz w:val="22"/>
                <w:szCs w:val="22"/>
              </w:rPr>
              <w:t>06</w:t>
            </w:r>
            <w:r w:rsidR="001C1936" w:rsidRPr="00495094">
              <w:rPr>
                <w:rFonts w:ascii="Arial" w:hAnsi="Arial" w:cs="Arial"/>
                <w:sz w:val="22"/>
                <w:szCs w:val="22"/>
              </w:rPr>
              <w:t>1</w:t>
            </w:r>
          </w:p>
        </w:tc>
      </w:tr>
    </w:tbl>
    <w:p w14:paraId="479AFBE4" w14:textId="77777777" w:rsidR="00521205" w:rsidRPr="00495094" w:rsidRDefault="00521205" w:rsidP="007F2D39">
      <w:pPr>
        <w:rPr>
          <w:rFonts w:ascii="Arial" w:hAnsi="Arial" w:cs="Arial"/>
          <w:sz w:val="22"/>
          <w:szCs w:val="22"/>
        </w:rPr>
      </w:pPr>
    </w:p>
    <w:p w14:paraId="74809455" w14:textId="77777777" w:rsidR="007F2D39" w:rsidRPr="00495094" w:rsidRDefault="007F2D39" w:rsidP="007F2D39">
      <w:pPr>
        <w:keepNext/>
        <w:outlineLvl w:val="3"/>
        <w:rPr>
          <w:rFonts w:ascii="Arial" w:hAnsi="Arial" w:cs="Arial"/>
          <w:i/>
          <w:sz w:val="22"/>
          <w:szCs w:val="22"/>
        </w:rPr>
      </w:pPr>
      <w:r w:rsidRPr="00495094">
        <w:rPr>
          <w:rFonts w:ascii="Arial" w:hAnsi="Arial" w:cs="Arial"/>
          <w:i/>
          <w:sz w:val="22"/>
          <w:szCs w:val="22"/>
        </w:rPr>
        <w:t>Market Risk</w:t>
      </w:r>
    </w:p>
    <w:p w14:paraId="03C78641" w14:textId="77777777" w:rsidR="007F2D39" w:rsidRPr="00495094" w:rsidRDefault="007F2D39" w:rsidP="007F2D39">
      <w:pPr>
        <w:ind w:left="360"/>
        <w:rPr>
          <w:rFonts w:ascii="Arial" w:hAnsi="Arial" w:cs="Arial"/>
          <w:sz w:val="22"/>
          <w:szCs w:val="22"/>
        </w:rPr>
      </w:pPr>
    </w:p>
    <w:p w14:paraId="19BFD79B"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 xml:space="preserve">Market risk is the risk that changes in interest rates, foreign exchange rates, equity prices, commodity prices and other market indicators which may affect the Bank’s income or values of its financial assets. The Bank uses mark-to-market and factor sensitivity to manage risk on its securities portfolios. </w:t>
      </w:r>
    </w:p>
    <w:p w14:paraId="6FBF15D2" w14:textId="77777777" w:rsidR="00707066" w:rsidRPr="00495094" w:rsidRDefault="00707066" w:rsidP="00707066">
      <w:pPr>
        <w:jc w:val="left"/>
        <w:rPr>
          <w:rFonts w:ascii="Arial" w:hAnsi="Arial" w:cs="Arial"/>
          <w:sz w:val="22"/>
          <w:szCs w:val="22"/>
          <w:lang w:val="en-PH"/>
        </w:rPr>
      </w:pPr>
    </w:p>
    <w:p w14:paraId="10B50231"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 xml:space="preserve">The Bank is exposed to market risk that originates primarily from its risk-taking activities on fixed income investments in securities and foreign exchange effects. Transaction limits are used to operationally manage market risks. </w:t>
      </w:r>
    </w:p>
    <w:p w14:paraId="0B21D0AB" w14:textId="77777777" w:rsidR="00707066" w:rsidRPr="00495094" w:rsidRDefault="00707066" w:rsidP="00707066">
      <w:pPr>
        <w:rPr>
          <w:rFonts w:ascii="Arial" w:hAnsi="Arial" w:cs="Arial"/>
          <w:sz w:val="22"/>
          <w:szCs w:val="22"/>
          <w:lang w:val="en-PH"/>
        </w:rPr>
      </w:pPr>
    </w:p>
    <w:p w14:paraId="2B4EF2CF"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 xml:space="preserve">Treasury market risks originate from its holdings of debt securities mainly as compliance to liquidity reserves for government deposits. Further, it classifies its debt securities exposures under trading and non-trading portfolios. </w:t>
      </w:r>
    </w:p>
    <w:p w14:paraId="0EC5BC01" w14:textId="77777777" w:rsidR="00707066" w:rsidRPr="00495094" w:rsidRDefault="00707066" w:rsidP="00707066">
      <w:pPr>
        <w:rPr>
          <w:rFonts w:ascii="Arial" w:hAnsi="Arial" w:cs="Arial"/>
          <w:sz w:val="22"/>
          <w:szCs w:val="22"/>
          <w:lang w:val="en-PH"/>
        </w:rPr>
      </w:pPr>
    </w:p>
    <w:p w14:paraId="52CA2CCE" w14:textId="075006C6"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 xml:space="preserve">The Bank uses a combination of stress testing, CET 1 ratio and capital metrics to manage market risks and establish limits. The OFB </w:t>
      </w:r>
      <w:r w:rsidR="00B25F27" w:rsidRPr="00495094">
        <w:rPr>
          <w:rFonts w:ascii="Arial" w:hAnsi="Arial" w:cs="Arial"/>
          <w:sz w:val="22"/>
          <w:szCs w:val="22"/>
          <w:lang w:val="en-PH"/>
        </w:rPr>
        <w:t>BOD</w:t>
      </w:r>
      <w:r w:rsidR="009E1015" w:rsidRPr="00495094">
        <w:rPr>
          <w:rFonts w:ascii="Arial" w:hAnsi="Arial" w:cs="Arial"/>
          <w:sz w:val="22"/>
          <w:szCs w:val="22"/>
          <w:lang w:val="en-PH"/>
        </w:rPr>
        <w:t xml:space="preserve"> and CGRMC </w:t>
      </w:r>
      <w:r w:rsidRPr="00495094">
        <w:rPr>
          <w:rFonts w:ascii="Arial" w:hAnsi="Arial" w:cs="Arial"/>
          <w:sz w:val="22"/>
          <w:szCs w:val="22"/>
          <w:lang w:val="en-PH"/>
        </w:rPr>
        <w:t xml:space="preserve">define and set the various market risk limits for each treasury portfolio. The Electronic Business Unit manages the liquidity and reserve positions, conducts risk-taking activities and seeks approval from President and CEO.  </w:t>
      </w:r>
    </w:p>
    <w:p w14:paraId="06D6FA92" w14:textId="77777777" w:rsidR="00866D71" w:rsidRPr="00495094" w:rsidRDefault="00866D71" w:rsidP="00707066">
      <w:pPr>
        <w:rPr>
          <w:rFonts w:ascii="Arial" w:hAnsi="Arial" w:cs="Arial"/>
          <w:sz w:val="22"/>
          <w:szCs w:val="22"/>
          <w:lang w:val="en-PH"/>
        </w:rPr>
      </w:pPr>
    </w:p>
    <w:p w14:paraId="12797584" w14:textId="77777777" w:rsidR="00707066" w:rsidRPr="00495094" w:rsidRDefault="00707066" w:rsidP="00707066">
      <w:pPr>
        <w:rPr>
          <w:rFonts w:ascii="Arial" w:hAnsi="Arial" w:cs="Arial"/>
          <w:sz w:val="22"/>
          <w:szCs w:val="22"/>
          <w:lang w:val="en-PH"/>
        </w:rPr>
      </w:pPr>
      <w:r w:rsidRPr="00495094">
        <w:rPr>
          <w:rFonts w:ascii="Arial" w:hAnsi="Arial" w:cs="Arial"/>
          <w:sz w:val="22"/>
          <w:szCs w:val="22"/>
          <w:lang w:val="en-PH"/>
        </w:rPr>
        <w:t>The Bank also adopts the following staging assessment for its treasury exposures based on external rating:</w:t>
      </w:r>
    </w:p>
    <w:p w14:paraId="589E13A8" w14:textId="77777777" w:rsidR="00707066" w:rsidRPr="00495094" w:rsidRDefault="00707066" w:rsidP="00707066">
      <w:pPr>
        <w:rPr>
          <w:rFonts w:ascii="Arial" w:hAnsi="Arial" w:cs="Arial"/>
          <w:sz w:val="22"/>
          <w:szCs w:val="22"/>
          <w:lang w:val="en-PH"/>
        </w:rPr>
      </w:pPr>
    </w:p>
    <w:p w14:paraId="4364F18B" w14:textId="77777777" w:rsidR="00707066" w:rsidRPr="00495094" w:rsidRDefault="00707066" w:rsidP="00707066">
      <w:pPr>
        <w:tabs>
          <w:tab w:val="left" w:pos="1526"/>
        </w:tabs>
        <w:rPr>
          <w:rFonts w:ascii="Arial" w:hAnsi="Arial" w:cs="Arial"/>
          <w:sz w:val="22"/>
          <w:szCs w:val="22"/>
          <w:lang w:val="en-PH"/>
        </w:rPr>
      </w:pPr>
      <w:r w:rsidRPr="00495094">
        <w:rPr>
          <w:rFonts w:ascii="Arial" w:hAnsi="Arial" w:cs="Arial"/>
          <w:sz w:val="22"/>
          <w:szCs w:val="22"/>
          <w:lang w:val="en-PH"/>
        </w:rPr>
        <w:t>Stage 1  -   investment grade</w:t>
      </w:r>
    </w:p>
    <w:p w14:paraId="12932F5A" w14:textId="77777777" w:rsidR="00707066" w:rsidRPr="00495094" w:rsidRDefault="00707066" w:rsidP="00707066">
      <w:pPr>
        <w:tabs>
          <w:tab w:val="left" w:pos="1526"/>
        </w:tabs>
        <w:ind w:left="1134" w:hanging="1134"/>
        <w:rPr>
          <w:rFonts w:ascii="Arial" w:hAnsi="Arial" w:cs="Arial"/>
          <w:sz w:val="22"/>
          <w:szCs w:val="22"/>
          <w:lang w:val="en-PH"/>
        </w:rPr>
      </w:pPr>
      <w:r w:rsidRPr="00495094">
        <w:rPr>
          <w:rFonts w:ascii="Arial" w:hAnsi="Arial" w:cs="Arial"/>
          <w:sz w:val="22"/>
          <w:szCs w:val="22"/>
          <w:lang w:val="en-PH"/>
        </w:rPr>
        <w:t>Stage 2  -  downgrade to speculative/non-investment grade;  risk ratings downgraded by at least two  rating grades</w:t>
      </w:r>
    </w:p>
    <w:p w14:paraId="338C389B" w14:textId="77777777" w:rsidR="00707066" w:rsidRPr="00495094" w:rsidRDefault="00707066" w:rsidP="00707066">
      <w:pPr>
        <w:tabs>
          <w:tab w:val="left" w:pos="1526"/>
        </w:tabs>
        <w:rPr>
          <w:rFonts w:ascii="Arial" w:hAnsi="Arial" w:cs="Arial"/>
          <w:sz w:val="22"/>
          <w:szCs w:val="22"/>
          <w:lang w:val="en-PH"/>
        </w:rPr>
      </w:pPr>
      <w:r w:rsidRPr="00495094">
        <w:rPr>
          <w:rFonts w:ascii="Arial" w:hAnsi="Arial" w:cs="Arial"/>
          <w:sz w:val="22"/>
          <w:szCs w:val="22"/>
          <w:lang w:val="en-PH"/>
        </w:rPr>
        <w:t>Stage  3 -   default</w:t>
      </w:r>
    </w:p>
    <w:p w14:paraId="256472E5" w14:textId="77777777" w:rsidR="00707066" w:rsidRPr="00495094" w:rsidRDefault="00707066" w:rsidP="00707066">
      <w:pPr>
        <w:rPr>
          <w:rFonts w:ascii="Arial" w:hAnsi="Arial" w:cs="Arial"/>
          <w:sz w:val="22"/>
          <w:szCs w:val="22"/>
          <w:lang w:val="en-PH"/>
        </w:rPr>
      </w:pPr>
    </w:p>
    <w:p w14:paraId="199873D7" w14:textId="0181CB64" w:rsidR="00707066" w:rsidRPr="00495094" w:rsidRDefault="00A35E0A" w:rsidP="00707066">
      <w:pPr>
        <w:rPr>
          <w:rFonts w:ascii="Arial" w:hAnsi="Arial" w:cs="Arial"/>
          <w:sz w:val="22"/>
          <w:szCs w:val="22"/>
          <w:lang w:val="en-PH"/>
        </w:rPr>
      </w:pPr>
      <w:r w:rsidRPr="00495094">
        <w:rPr>
          <w:rFonts w:ascii="Arial" w:hAnsi="Arial" w:cs="Arial"/>
          <w:sz w:val="22"/>
          <w:szCs w:val="22"/>
          <w:lang w:val="en-PH"/>
        </w:rPr>
        <w:t>As of December 31, 202</w:t>
      </w:r>
      <w:r w:rsidR="006B78EF" w:rsidRPr="00495094">
        <w:rPr>
          <w:rFonts w:ascii="Arial" w:hAnsi="Arial" w:cs="Arial"/>
          <w:sz w:val="22"/>
          <w:szCs w:val="22"/>
          <w:lang w:val="en-PH"/>
        </w:rPr>
        <w:t>2</w:t>
      </w:r>
      <w:r w:rsidR="00707066" w:rsidRPr="00495094">
        <w:rPr>
          <w:rFonts w:ascii="Arial" w:hAnsi="Arial" w:cs="Arial"/>
          <w:sz w:val="22"/>
          <w:szCs w:val="22"/>
          <w:lang w:val="en-PH"/>
        </w:rPr>
        <w:t>, remaining G</w:t>
      </w:r>
      <w:r w:rsidR="00972AC9" w:rsidRPr="00495094">
        <w:rPr>
          <w:rFonts w:ascii="Arial" w:hAnsi="Arial" w:cs="Arial"/>
          <w:sz w:val="22"/>
          <w:szCs w:val="22"/>
          <w:lang w:val="en-PH"/>
        </w:rPr>
        <w:t xml:space="preserve">overnment </w:t>
      </w:r>
      <w:r w:rsidR="00707066" w:rsidRPr="00495094">
        <w:rPr>
          <w:rFonts w:ascii="Arial" w:hAnsi="Arial" w:cs="Arial"/>
          <w:sz w:val="22"/>
          <w:szCs w:val="22"/>
          <w:lang w:val="en-PH"/>
        </w:rPr>
        <w:t>S</w:t>
      </w:r>
      <w:r w:rsidR="00972AC9" w:rsidRPr="00495094">
        <w:rPr>
          <w:rFonts w:ascii="Arial" w:hAnsi="Arial" w:cs="Arial"/>
          <w:sz w:val="22"/>
          <w:szCs w:val="22"/>
          <w:lang w:val="en-PH"/>
        </w:rPr>
        <w:t>ecurities</w:t>
      </w:r>
      <w:r w:rsidR="00707066" w:rsidRPr="00495094">
        <w:rPr>
          <w:rFonts w:ascii="Arial" w:hAnsi="Arial" w:cs="Arial"/>
          <w:sz w:val="22"/>
          <w:szCs w:val="22"/>
          <w:lang w:val="en-PH"/>
        </w:rPr>
        <w:t xml:space="preserve"> classified under F</w:t>
      </w:r>
      <w:r w:rsidR="00972AC9" w:rsidRPr="00495094">
        <w:rPr>
          <w:rFonts w:ascii="Arial" w:hAnsi="Arial" w:cs="Arial"/>
          <w:sz w:val="22"/>
          <w:szCs w:val="22"/>
          <w:lang w:val="en-PH"/>
        </w:rPr>
        <w:t xml:space="preserve">air </w:t>
      </w:r>
      <w:r w:rsidR="00707066" w:rsidRPr="00495094">
        <w:rPr>
          <w:rFonts w:ascii="Arial" w:hAnsi="Arial" w:cs="Arial"/>
          <w:sz w:val="22"/>
          <w:szCs w:val="22"/>
          <w:lang w:val="en-PH"/>
        </w:rPr>
        <w:t>V</w:t>
      </w:r>
      <w:r w:rsidR="00972AC9" w:rsidRPr="00495094">
        <w:rPr>
          <w:rFonts w:ascii="Arial" w:hAnsi="Arial" w:cs="Arial"/>
          <w:sz w:val="22"/>
          <w:szCs w:val="22"/>
          <w:lang w:val="en-PH"/>
        </w:rPr>
        <w:t xml:space="preserve">alue thru </w:t>
      </w:r>
      <w:r w:rsidR="00707066" w:rsidRPr="00495094">
        <w:rPr>
          <w:rFonts w:ascii="Arial" w:hAnsi="Arial" w:cs="Arial"/>
          <w:sz w:val="22"/>
          <w:szCs w:val="22"/>
          <w:lang w:val="en-PH"/>
        </w:rPr>
        <w:t>O</w:t>
      </w:r>
      <w:r w:rsidR="00972AC9" w:rsidRPr="00495094">
        <w:rPr>
          <w:rFonts w:ascii="Arial" w:hAnsi="Arial" w:cs="Arial"/>
          <w:sz w:val="22"/>
          <w:szCs w:val="22"/>
          <w:lang w:val="en-PH"/>
        </w:rPr>
        <w:t xml:space="preserve">ther </w:t>
      </w:r>
      <w:r w:rsidR="00707066" w:rsidRPr="00495094">
        <w:rPr>
          <w:rFonts w:ascii="Arial" w:hAnsi="Arial" w:cs="Arial"/>
          <w:sz w:val="22"/>
          <w:szCs w:val="22"/>
          <w:lang w:val="en-PH"/>
        </w:rPr>
        <w:t>C</w:t>
      </w:r>
      <w:r w:rsidR="00972AC9" w:rsidRPr="00495094">
        <w:rPr>
          <w:rFonts w:ascii="Arial" w:hAnsi="Arial" w:cs="Arial"/>
          <w:sz w:val="22"/>
          <w:szCs w:val="22"/>
          <w:lang w:val="en-PH"/>
        </w:rPr>
        <w:t xml:space="preserve">omprehensive </w:t>
      </w:r>
      <w:r w:rsidR="00707066" w:rsidRPr="00495094">
        <w:rPr>
          <w:rFonts w:ascii="Arial" w:hAnsi="Arial" w:cs="Arial"/>
          <w:sz w:val="22"/>
          <w:szCs w:val="22"/>
          <w:lang w:val="en-PH"/>
        </w:rPr>
        <w:t>I</w:t>
      </w:r>
      <w:r w:rsidR="00972AC9" w:rsidRPr="00495094">
        <w:rPr>
          <w:rFonts w:ascii="Arial" w:hAnsi="Arial" w:cs="Arial"/>
          <w:sz w:val="22"/>
          <w:szCs w:val="22"/>
          <w:lang w:val="en-PH"/>
        </w:rPr>
        <w:t>ncome</w:t>
      </w:r>
      <w:r w:rsidR="00707066" w:rsidRPr="00495094">
        <w:rPr>
          <w:rFonts w:ascii="Arial" w:hAnsi="Arial" w:cs="Arial"/>
          <w:sz w:val="22"/>
          <w:szCs w:val="22"/>
          <w:lang w:val="en-PH"/>
        </w:rPr>
        <w:t xml:space="preserve"> with average yield to maturity of 3.5 per cent registered an unrealized gain/mark-to-market </w:t>
      </w:r>
      <w:r w:rsidR="006B78EF" w:rsidRPr="00495094">
        <w:rPr>
          <w:rFonts w:ascii="Arial" w:hAnsi="Arial" w:cs="Arial"/>
          <w:sz w:val="22"/>
          <w:szCs w:val="22"/>
          <w:lang w:val="en-PH"/>
        </w:rPr>
        <w:t>loss</w:t>
      </w:r>
      <w:r w:rsidR="00707066" w:rsidRPr="00495094">
        <w:rPr>
          <w:rFonts w:ascii="Arial" w:hAnsi="Arial" w:cs="Arial"/>
          <w:sz w:val="22"/>
          <w:szCs w:val="22"/>
          <w:lang w:val="en-PH"/>
        </w:rPr>
        <w:t xml:space="preserve"> of P</w:t>
      </w:r>
      <w:r w:rsidR="006B78EF" w:rsidRPr="00495094">
        <w:rPr>
          <w:rFonts w:ascii="Arial" w:hAnsi="Arial" w:cs="Arial"/>
          <w:sz w:val="22"/>
          <w:szCs w:val="22"/>
          <w:lang w:val="en-PH"/>
        </w:rPr>
        <w:t>3</w:t>
      </w:r>
      <w:r w:rsidR="00707066" w:rsidRPr="00495094">
        <w:rPr>
          <w:rFonts w:ascii="Arial" w:hAnsi="Arial" w:cs="Arial"/>
          <w:sz w:val="22"/>
          <w:szCs w:val="22"/>
          <w:lang w:val="en-PH"/>
        </w:rPr>
        <w:t>.</w:t>
      </w:r>
      <w:r w:rsidR="006B78EF" w:rsidRPr="00495094">
        <w:rPr>
          <w:rFonts w:ascii="Arial" w:hAnsi="Arial" w:cs="Arial"/>
          <w:sz w:val="22"/>
          <w:szCs w:val="22"/>
          <w:lang w:val="en-PH"/>
        </w:rPr>
        <w:t>759</w:t>
      </w:r>
      <w:r w:rsidR="00707066" w:rsidRPr="00495094">
        <w:rPr>
          <w:rFonts w:ascii="Arial" w:hAnsi="Arial" w:cs="Arial"/>
          <w:sz w:val="22"/>
          <w:szCs w:val="22"/>
          <w:lang w:val="en-PH"/>
        </w:rPr>
        <w:t xml:space="preserve"> million for a P50 million portfolio.</w:t>
      </w:r>
    </w:p>
    <w:p w14:paraId="275F6BC2" w14:textId="77777777" w:rsidR="00866AD2" w:rsidRPr="00495094" w:rsidRDefault="00866AD2" w:rsidP="007F2D39">
      <w:pPr>
        <w:rPr>
          <w:rFonts w:ascii="Arial" w:hAnsi="Arial" w:cs="Arial"/>
          <w:b/>
          <w:sz w:val="22"/>
          <w:szCs w:val="22"/>
          <w:u w:val="single"/>
        </w:rPr>
      </w:pPr>
    </w:p>
    <w:p w14:paraId="76E96BB5" w14:textId="77777777" w:rsidR="009C6D5E" w:rsidRPr="00495094" w:rsidRDefault="009C6D5E" w:rsidP="009C6D5E">
      <w:pPr>
        <w:rPr>
          <w:rFonts w:ascii="Arial" w:hAnsi="Arial" w:cs="Arial"/>
          <w:b/>
          <w:sz w:val="22"/>
          <w:szCs w:val="22"/>
          <w:u w:val="single"/>
          <w:lang w:val="en-PH"/>
        </w:rPr>
      </w:pPr>
      <w:r w:rsidRPr="00495094">
        <w:rPr>
          <w:rFonts w:ascii="Arial" w:hAnsi="Arial" w:cs="Arial"/>
          <w:b/>
          <w:sz w:val="22"/>
          <w:szCs w:val="22"/>
          <w:u w:val="single"/>
          <w:lang w:val="en-PH"/>
        </w:rPr>
        <w:t>Market Risk Measurement</w:t>
      </w:r>
    </w:p>
    <w:p w14:paraId="73D5F271" w14:textId="77777777" w:rsidR="009C6D5E" w:rsidRPr="00495094" w:rsidRDefault="009C6D5E" w:rsidP="009C6D5E">
      <w:pPr>
        <w:rPr>
          <w:rFonts w:ascii="Arial" w:hAnsi="Arial" w:cs="Arial"/>
          <w:b/>
          <w:sz w:val="22"/>
          <w:szCs w:val="22"/>
          <w:u w:val="single"/>
          <w:lang w:val="en-PH"/>
        </w:rPr>
      </w:pPr>
    </w:p>
    <w:p w14:paraId="71C2C445" w14:textId="77777777" w:rsidR="009C6D5E" w:rsidRPr="00495094" w:rsidRDefault="009C6D5E" w:rsidP="009C6D5E">
      <w:pPr>
        <w:rPr>
          <w:rFonts w:ascii="Arial" w:hAnsi="Arial" w:cs="Arial"/>
          <w:bCs/>
          <w:sz w:val="22"/>
          <w:szCs w:val="22"/>
          <w:lang w:val="en-PH"/>
        </w:rPr>
      </w:pPr>
      <w:r w:rsidRPr="00495094">
        <w:rPr>
          <w:rFonts w:ascii="Arial" w:hAnsi="Arial" w:cs="Arial"/>
          <w:bCs/>
          <w:sz w:val="22"/>
          <w:szCs w:val="22"/>
          <w:lang w:val="en-PH"/>
        </w:rPr>
        <w:t xml:space="preserve">Treasury portfolio is measured at mark-to-market to measure market risk in the books under normal conditions. </w:t>
      </w:r>
    </w:p>
    <w:p w14:paraId="1CFED82E" w14:textId="77777777" w:rsidR="00134EE8" w:rsidRPr="00495094" w:rsidRDefault="00134EE8" w:rsidP="007F2D39">
      <w:pPr>
        <w:rPr>
          <w:rFonts w:ascii="Arial" w:hAnsi="Arial" w:cs="Arial"/>
          <w:b/>
          <w:sz w:val="22"/>
          <w:szCs w:val="22"/>
          <w:u w:val="single"/>
        </w:rPr>
      </w:pPr>
    </w:p>
    <w:p w14:paraId="1FC95A6D" w14:textId="381AD2DB" w:rsidR="006357FE" w:rsidRPr="00495094" w:rsidRDefault="006357FE" w:rsidP="007F2D39">
      <w:pPr>
        <w:rPr>
          <w:rFonts w:ascii="Arial" w:hAnsi="Arial" w:cs="Arial"/>
          <w:b/>
          <w:sz w:val="22"/>
          <w:szCs w:val="22"/>
          <w:u w:val="single"/>
        </w:rPr>
      </w:pPr>
      <w:r w:rsidRPr="00495094">
        <w:rPr>
          <w:rFonts w:ascii="Arial" w:hAnsi="Arial" w:cs="Arial"/>
          <w:b/>
          <w:sz w:val="22"/>
          <w:szCs w:val="22"/>
          <w:u w:val="single"/>
        </w:rPr>
        <w:t>Liquidity Risk</w:t>
      </w:r>
      <w:r w:rsidR="009C6D5E" w:rsidRPr="00495094">
        <w:rPr>
          <w:rFonts w:ascii="Arial" w:hAnsi="Arial" w:cs="Arial"/>
          <w:b/>
          <w:sz w:val="22"/>
          <w:szCs w:val="22"/>
          <w:u w:val="single"/>
        </w:rPr>
        <w:t xml:space="preserve"> Management</w:t>
      </w:r>
    </w:p>
    <w:p w14:paraId="0A9EC485" w14:textId="77777777" w:rsidR="006357FE" w:rsidRPr="00495094" w:rsidRDefault="006357FE" w:rsidP="007F2D39">
      <w:pPr>
        <w:rPr>
          <w:rFonts w:ascii="Arial" w:hAnsi="Arial" w:cs="Arial"/>
          <w:sz w:val="22"/>
          <w:szCs w:val="22"/>
          <w:u w:val="single"/>
        </w:rPr>
      </w:pPr>
    </w:p>
    <w:p w14:paraId="5367D604" w14:textId="15864992" w:rsidR="009C6D5E" w:rsidRPr="00495094" w:rsidRDefault="009C6D5E" w:rsidP="009C6D5E">
      <w:pPr>
        <w:jc w:val="left"/>
        <w:rPr>
          <w:rFonts w:ascii="Arial" w:hAnsi="Arial" w:cs="Arial"/>
          <w:sz w:val="22"/>
          <w:szCs w:val="22"/>
          <w:lang w:val="en-PH"/>
        </w:rPr>
      </w:pPr>
      <w:r w:rsidRPr="00495094">
        <w:rPr>
          <w:rFonts w:ascii="Arial" w:hAnsi="Arial" w:cs="Arial"/>
          <w:sz w:val="22"/>
          <w:szCs w:val="22"/>
          <w:lang w:val="en-PH"/>
        </w:rPr>
        <w:t xml:space="preserve">Liquidity Risk Management </w:t>
      </w:r>
      <w:r w:rsidR="00B25F27" w:rsidRPr="00495094">
        <w:rPr>
          <w:rFonts w:ascii="Arial" w:hAnsi="Arial" w:cs="Arial"/>
          <w:sz w:val="22"/>
          <w:szCs w:val="22"/>
          <w:lang w:val="en-PH"/>
        </w:rPr>
        <w:t xml:space="preserve">(RM) </w:t>
      </w:r>
      <w:r w:rsidRPr="00495094">
        <w:rPr>
          <w:rFonts w:ascii="Arial" w:hAnsi="Arial" w:cs="Arial"/>
          <w:sz w:val="22"/>
          <w:szCs w:val="22"/>
          <w:lang w:val="en-PH"/>
        </w:rPr>
        <w:t>Framework</w:t>
      </w:r>
    </w:p>
    <w:p w14:paraId="518A48F8" w14:textId="77777777" w:rsidR="009C6D5E" w:rsidRPr="00495094" w:rsidRDefault="009C6D5E" w:rsidP="009C6D5E">
      <w:pPr>
        <w:jc w:val="left"/>
        <w:rPr>
          <w:rFonts w:ascii="Arial" w:hAnsi="Arial" w:cs="Arial"/>
          <w:sz w:val="22"/>
          <w:szCs w:val="22"/>
          <w:lang w:val="en-PH"/>
        </w:rPr>
      </w:pPr>
    </w:p>
    <w:p w14:paraId="411E330D" w14:textId="6A4128A8" w:rsidR="009C6D5E" w:rsidRPr="00495094" w:rsidRDefault="006D0F95" w:rsidP="009C6D5E">
      <w:pPr>
        <w:rPr>
          <w:rFonts w:ascii="Arial" w:hAnsi="Arial" w:cs="Arial"/>
          <w:sz w:val="22"/>
          <w:szCs w:val="22"/>
          <w:lang w:val="en-PH"/>
        </w:rPr>
      </w:pPr>
      <w:r w:rsidRPr="00495094">
        <w:rPr>
          <w:rFonts w:ascii="Arial" w:hAnsi="Arial" w:cs="Arial"/>
          <w:sz w:val="22"/>
          <w:szCs w:val="22"/>
          <w:lang w:val="en-PH"/>
        </w:rPr>
        <w:t>The Bank’s liquidity RM process is consistent with its general RM framework covering risk identification, measurement and analysis, monitoring and control.  The Treasurer through the Management Committee   is responsible for the implementation of sound policies and procedures keeping in mind the strategic direction and risk appetite of the Bank.  The basic liquidity policy of the Bank is to maintain fund availability at all times and hence, to be in a position to meet all of its obligations, in the normal course of business.</w:t>
      </w:r>
    </w:p>
    <w:p w14:paraId="3E995536" w14:textId="77777777" w:rsidR="009C6D5E" w:rsidRPr="00495094" w:rsidRDefault="009C6D5E" w:rsidP="009C6D5E">
      <w:pPr>
        <w:rPr>
          <w:rFonts w:ascii="Arial" w:hAnsi="Arial" w:cs="Arial"/>
          <w:sz w:val="22"/>
          <w:szCs w:val="22"/>
          <w:lang w:val="en-PH"/>
        </w:rPr>
      </w:pPr>
    </w:p>
    <w:p w14:paraId="1B66CA24" w14:textId="2940E6D6"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The Bank considers liquidity risk based on market and funding liquidity risk perspectives. Market liquidity risk refers to inability to unwind positions created from market, exchanges and counterparties due to temporary or permanent factors. It is the ri</w:t>
      </w:r>
      <w:r w:rsidR="007B60CA" w:rsidRPr="00495094">
        <w:rPr>
          <w:rFonts w:ascii="Arial" w:hAnsi="Arial" w:cs="Arial"/>
          <w:sz w:val="22"/>
          <w:szCs w:val="22"/>
          <w:lang w:val="en-PH"/>
        </w:rPr>
        <w:t xml:space="preserve">sk that the Bank cannot easily </w:t>
      </w:r>
      <w:r w:rsidR="00EF41A0" w:rsidRPr="00495094">
        <w:rPr>
          <w:rFonts w:ascii="Arial" w:hAnsi="Arial" w:cs="Arial"/>
          <w:sz w:val="22"/>
          <w:szCs w:val="22"/>
          <w:lang w:val="en-PH"/>
        </w:rPr>
        <w:t xml:space="preserve">offset or eliminate a </w:t>
      </w:r>
      <w:r w:rsidRPr="00495094">
        <w:rPr>
          <w:rFonts w:ascii="Arial" w:hAnsi="Arial" w:cs="Arial"/>
          <w:sz w:val="22"/>
          <w:szCs w:val="22"/>
          <w:lang w:val="en-PH"/>
        </w:rPr>
        <w:t>position at the market price because of inadequate market depth or through market disruption.</w:t>
      </w:r>
    </w:p>
    <w:p w14:paraId="51659288" w14:textId="77777777" w:rsidR="009C6D5E" w:rsidRPr="00495094" w:rsidRDefault="009C6D5E" w:rsidP="009C6D5E">
      <w:pPr>
        <w:rPr>
          <w:rFonts w:ascii="Arial" w:hAnsi="Arial" w:cs="Arial"/>
          <w:sz w:val="22"/>
          <w:szCs w:val="22"/>
          <w:lang w:val="en-PH"/>
        </w:rPr>
      </w:pPr>
    </w:p>
    <w:p w14:paraId="40B341E0" w14:textId="0D135B10"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Market liquidity risk is also associated with the probability that large transactions may have a significant effect on mark</w:t>
      </w:r>
      <w:r w:rsidR="00EF41A0" w:rsidRPr="00495094">
        <w:rPr>
          <w:rFonts w:ascii="Arial" w:hAnsi="Arial" w:cs="Arial"/>
          <w:sz w:val="22"/>
          <w:szCs w:val="22"/>
          <w:lang w:val="en-PH"/>
        </w:rPr>
        <w:t xml:space="preserve">et prices in markets that lack </w:t>
      </w:r>
      <w:r w:rsidRPr="00495094">
        <w:rPr>
          <w:rFonts w:ascii="Arial" w:hAnsi="Arial" w:cs="Arial"/>
          <w:sz w:val="22"/>
          <w:szCs w:val="22"/>
          <w:lang w:val="en-PH"/>
        </w:rPr>
        <w:t>sufficient depth. This liquidity risk perspective is captured through stress testing or scenario analysis.</w:t>
      </w:r>
    </w:p>
    <w:p w14:paraId="0DBD1204" w14:textId="77777777" w:rsidR="008B7CCB" w:rsidRPr="00495094" w:rsidRDefault="008B7CCB" w:rsidP="009C6D5E">
      <w:pPr>
        <w:rPr>
          <w:rFonts w:ascii="Arial" w:hAnsi="Arial" w:cs="Arial"/>
          <w:sz w:val="22"/>
          <w:szCs w:val="22"/>
          <w:lang w:val="en-PH"/>
        </w:rPr>
      </w:pPr>
    </w:p>
    <w:p w14:paraId="7F55D141" w14:textId="79FD4DAF"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 xml:space="preserve">Funding liquidity risk is the risk that the Bank will not be able to meet efficiently both expected and unexpected current and future cash flow and collateral needs without affecting either daily operations or the financial condition of the Bank. It occurs from the mismatch of asset, liability, exchange contract and contingent commitment maturities. Funding liquidity risk is being monitored and controlled through the classification of maturities of assets and liabilities over time bands and across functional currencies as reflected in the </w:t>
      </w:r>
      <w:r w:rsidR="006D0F95" w:rsidRPr="00495094">
        <w:rPr>
          <w:rFonts w:ascii="Arial" w:hAnsi="Arial" w:cs="Arial"/>
          <w:sz w:val="22"/>
          <w:szCs w:val="22"/>
          <w:lang w:val="en-PH"/>
        </w:rPr>
        <w:t>Liquidity Position Matrix (LPM) and the Intraday Liquidity Reports.</w:t>
      </w:r>
    </w:p>
    <w:p w14:paraId="1A49B4B5" w14:textId="77777777" w:rsidR="009C6D5E" w:rsidRPr="00495094" w:rsidRDefault="009C6D5E" w:rsidP="009C6D5E">
      <w:pPr>
        <w:rPr>
          <w:rFonts w:ascii="Arial" w:hAnsi="Arial" w:cs="Arial"/>
          <w:sz w:val="22"/>
          <w:szCs w:val="22"/>
          <w:lang w:val="en-PH"/>
        </w:rPr>
      </w:pPr>
    </w:p>
    <w:p w14:paraId="18A6549B" w14:textId="68FD20A0" w:rsidR="009C6D5E" w:rsidRPr="00495094" w:rsidRDefault="006D0F95" w:rsidP="009C6D5E">
      <w:pPr>
        <w:rPr>
          <w:rFonts w:ascii="Arial" w:hAnsi="Arial" w:cs="Arial"/>
          <w:sz w:val="22"/>
          <w:szCs w:val="22"/>
          <w:lang w:val="en-PH"/>
        </w:rPr>
      </w:pPr>
      <w:r w:rsidRPr="00495094">
        <w:rPr>
          <w:rFonts w:ascii="Arial" w:hAnsi="Arial" w:cs="Arial"/>
          <w:sz w:val="22"/>
          <w:szCs w:val="22"/>
          <w:lang w:val="en-PH"/>
        </w:rPr>
        <w:t xml:space="preserve">The Bank’s Board exercises oversight through CGRMC and has delegated the responsibility of managing overall liquidity to the Treasurer and the Management Committee.  They are responsible for the daily implementation and monitoring of relevant variables affecting liquidity position.  The Treasurer presents to the Management Committee   the assets and liabilities position on a regular basis where the </w:t>
      </w:r>
      <w:r w:rsidR="00A4608F" w:rsidRPr="00495094">
        <w:rPr>
          <w:rFonts w:ascii="Arial" w:hAnsi="Arial" w:cs="Arial"/>
          <w:sz w:val="22"/>
          <w:szCs w:val="22"/>
          <w:lang w:val="en-PH"/>
        </w:rPr>
        <w:t xml:space="preserve">Management Commitee </w:t>
      </w:r>
      <w:r w:rsidRPr="00495094">
        <w:rPr>
          <w:rFonts w:ascii="Arial" w:hAnsi="Arial" w:cs="Arial"/>
          <w:sz w:val="22"/>
          <w:szCs w:val="22"/>
          <w:lang w:val="en-PH"/>
        </w:rPr>
        <w:t>recommends measures to promote diversification of its liabilities according to source, instrument and currency to minimize liquidity risks resulting from concentration in funding sources. The Bank performs a comprehensive liquidity risk measurement and control using LPM.</w:t>
      </w:r>
    </w:p>
    <w:p w14:paraId="40087169" w14:textId="77777777" w:rsidR="009C6D5E" w:rsidRPr="00495094" w:rsidRDefault="009C6D5E" w:rsidP="009C6D5E">
      <w:pPr>
        <w:rPr>
          <w:rFonts w:ascii="Arial" w:hAnsi="Arial" w:cs="Arial"/>
          <w:sz w:val="22"/>
          <w:szCs w:val="22"/>
          <w:lang w:val="en-PH"/>
        </w:rPr>
      </w:pPr>
    </w:p>
    <w:p w14:paraId="1EF39E57" w14:textId="77777777" w:rsidR="009C6D5E" w:rsidRPr="00495094" w:rsidRDefault="009C6D5E" w:rsidP="009C6D5E">
      <w:pPr>
        <w:rPr>
          <w:rFonts w:ascii="Arial" w:hAnsi="Arial" w:cs="Arial"/>
          <w:i/>
          <w:iCs/>
          <w:sz w:val="22"/>
          <w:szCs w:val="22"/>
          <w:lang w:val="en-PH"/>
        </w:rPr>
      </w:pPr>
      <w:r w:rsidRPr="00495094">
        <w:rPr>
          <w:rFonts w:ascii="Arial" w:hAnsi="Arial" w:cs="Arial"/>
          <w:i/>
          <w:iCs/>
          <w:sz w:val="22"/>
          <w:szCs w:val="22"/>
          <w:lang w:val="en-PH"/>
        </w:rPr>
        <w:t>Liquidity Risk Measurement Models</w:t>
      </w:r>
    </w:p>
    <w:p w14:paraId="030E373E" w14:textId="77777777" w:rsidR="009C6D5E" w:rsidRPr="00495094" w:rsidRDefault="009C6D5E" w:rsidP="009C6D5E">
      <w:pPr>
        <w:rPr>
          <w:rFonts w:ascii="Arial" w:hAnsi="Arial" w:cs="Arial"/>
          <w:sz w:val="22"/>
          <w:szCs w:val="22"/>
          <w:lang w:val="en-PH"/>
        </w:rPr>
      </w:pPr>
    </w:p>
    <w:p w14:paraId="5369EB83" w14:textId="162D3D9E"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 xml:space="preserve">The Bank conducts liquidity gap analysis using the </w:t>
      </w:r>
      <w:r w:rsidR="006D0F95" w:rsidRPr="00495094">
        <w:rPr>
          <w:rFonts w:ascii="Arial" w:hAnsi="Arial" w:cs="Arial"/>
          <w:sz w:val="22"/>
          <w:szCs w:val="22"/>
          <w:lang w:val="en-PH"/>
        </w:rPr>
        <w:t>LPM</w:t>
      </w:r>
      <w:r w:rsidRPr="00495094">
        <w:rPr>
          <w:rFonts w:ascii="Arial" w:hAnsi="Arial" w:cs="Arial"/>
          <w:sz w:val="22"/>
          <w:szCs w:val="22"/>
          <w:lang w:val="en-PH"/>
        </w:rPr>
        <w:t xml:space="preserve">. This risk measurement tool is used in identifying the current liquidity position and the Bank’s ability to meet future funding needs. It categorizes balance sheet items according to estimated maturities of assets and liabilities in order to determine any future mismatch such as long-term assets growing faster than long term liabilities. </w:t>
      </w:r>
    </w:p>
    <w:p w14:paraId="62CFE874" w14:textId="77777777" w:rsidR="00134EE8" w:rsidRPr="00495094" w:rsidRDefault="00134EE8" w:rsidP="009C6D5E">
      <w:pPr>
        <w:rPr>
          <w:rFonts w:ascii="Arial" w:hAnsi="Arial" w:cs="Arial"/>
          <w:sz w:val="22"/>
          <w:szCs w:val="22"/>
          <w:lang w:val="en-PH"/>
        </w:rPr>
      </w:pPr>
    </w:p>
    <w:p w14:paraId="4E5BB08F" w14:textId="273CCEA2"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Financial ratio analysis is another liquidity risk measurement tool that calculates and compares liquidity leverage ratios derived fr</w:t>
      </w:r>
      <w:r w:rsidR="003D1A2E" w:rsidRPr="00495094">
        <w:rPr>
          <w:rFonts w:ascii="Arial" w:hAnsi="Arial" w:cs="Arial"/>
          <w:sz w:val="22"/>
          <w:szCs w:val="22"/>
          <w:lang w:val="en-PH"/>
        </w:rPr>
        <w:t>o</w:t>
      </w:r>
      <w:r w:rsidRPr="00495094">
        <w:rPr>
          <w:rFonts w:ascii="Arial" w:hAnsi="Arial" w:cs="Arial"/>
          <w:sz w:val="22"/>
          <w:szCs w:val="22"/>
          <w:lang w:val="en-PH"/>
        </w:rPr>
        <w:t>m information on financial statements against set liquidity/ leverage limits.</w:t>
      </w:r>
    </w:p>
    <w:p w14:paraId="25F9F234" w14:textId="77777777" w:rsidR="00AF0ED0" w:rsidRPr="00495094" w:rsidRDefault="00AF0ED0" w:rsidP="009C6D5E">
      <w:pPr>
        <w:rPr>
          <w:rFonts w:ascii="Arial" w:hAnsi="Arial" w:cs="Arial"/>
          <w:sz w:val="22"/>
          <w:szCs w:val="22"/>
          <w:lang w:val="en-PH"/>
        </w:rPr>
      </w:pPr>
    </w:p>
    <w:p w14:paraId="126125B7" w14:textId="5D158E8B"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The following table sets out the liquidit</w:t>
      </w:r>
      <w:r w:rsidR="00AC1645" w:rsidRPr="00495094">
        <w:rPr>
          <w:rFonts w:ascii="Arial" w:hAnsi="Arial" w:cs="Arial"/>
          <w:sz w:val="22"/>
          <w:szCs w:val="22"/>
          <w:lang w:val="en-PH"/>
        </w:rPr>
        <w:t>y ratios as of December 31, 2022</w:t>
      </w:r>
      <w:r w:rsidRPr="00495094">
        <w:rPr>
          <w:rFonts w:ascii="Arial" w:hAnsi="Arial" w:cs="Arial"/>
          <w:sz w:val="22"/>
          <w:szCs w:val="22"/>
          <w:lang w:val="en-PH"/>
        </w:rPr>
        <w:t>.</w:t>
      </w:r>
    </w:p>
    <w:p w14:paraId="33F09D18" w14:textId="77777777" w:rsidR="009C6D5E" w:rsidRPr="00495094" w:rsidRDefault="009C6D5E" w:rsidP="009C6D5E">
      <w:pPr>
        <w:rPr>
          <w:rFonts w:ascii="Arial" w:hAnsi="Arial" w:cs="Arial"/>
          <w:sz w:val="22"/>
          <w:szCs w:val="22"/>
          <w:lang w:val="en-PH"/>
        </w:rPr>
      </w:pPr>
    </w:p>
    <w:tbl>
      <w:tblPr>
        <w:tblStyle w:val="TableGrid"/>
        <w:tblW w:w="0" w:type="auto"/>
        <w:tblInd w:w="137" w:type="dxa"/>
        <w:tblLook w:val="04A0" w:firstRow="1" w:lastRow="0" w:firstColumn="1" w:lastColumn="0" w:noHBand="0" w:noVBand="1"/>
      </w:tblPr>
      <w:tblGrid>
        <w:gridCol w:w="5670"/>
        <w:gridCol w:w="2365"/>
      </w:tblGrid>
      <w:tr w:rsidR="00495094" w:rsidRPr="00495094" w14:paraId="5759393B" w14:textId="77777777" w:rsidTr="00972AC9">
        <w:trPr>
          <w:trHeight w:val="406"/>
        </w:trPr>
        <w:tc>
          <w:tcPr>
            <w:tcW w:w="5670" w:type="dxa"/>
          </w:tcPr>
          <w:p w14:paraId="30C783BA" w14:textId="77777777"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Liquid Assets (Cash and Due From BSP/ Local Bank, Government Securities)</w:t>
            </w:r>
          </w:p>
        </w:tc>
        <w:tc>
          <w:tcPr>
            <w:tcW w:w="2365" w:type="dxa"/>
          </w:tcPr>
          <w:p w14:paraId="71154086" w14:textId="31674A6F" w:rsidR="009C6D5E" w:rsidRPr="00495094" w:rsidRDefault="009C6D5E" w:rsidP="00972AC9">
            <w:pPr>
              <w:jc w:val="center"/>
              <w:rPr>
                <w:rFonts w:ascii="Arial" w:hAnsi="Arial" w:cs="Arial"/>
                <w:sz w:val="22"/>
                <w:szCs w:val="22"/>
                <w:lang w:val="en-PH"/>
              </w:rPr>
            </w:pPr>
            <w:r w:rsidRPr="00495094">
              <w:rPr>
                <w:rFonts w:ascii="Arial" w:hAnsi="Arial" w:cs="Arial"/>
                <w:sz w:val="22"/>
                <w:szCs w:val="22"/>
                <w:lang w:val="en-PH"/>
              </w:rPr>
              <w:t>P</w:t>
            </w:r>
            <w:r w:rsidR="00792DEA" w:rsidRPr="00495094">
              <w:rPr>
                <w:rFonts w:ascii="Arial" w:hAnsi="Arial" w:cs="Arial"/>
                <w:sz w:val="22"/>
                <w:szCs w:val="22"/>
                <w:lang w:val="en-PH"/>
              </w:rPr>
              <w:t>2</w:t>
            </w:r>
            <w:r w:rsidR="00AC1645" w:rsidRPr="00495094">
              <w:rPr>
                <w:rFonts w:ascii="Arial" w:hAnsi="Arial" w:cs="Arial"/>
                <w:sz w:val="22"/>
                <w:szCs w:val="22"/>
                <w:lang w:val="en-PH"/>
              </w:rPr>
              <w:t>,</w:t>
            </w:r>
            <w:r w:rsidR="00792DEA" w:rsidRPr="00495094">
              <w:rPr>
                <w:rFonts w:ascii="Arial" w:hAnsi="Arial" w:cs="Arial"/>
                <w:sz w:val="22"/>
                <w:szCs w:val="22"/>
                <w:lang w:val="en-PH"/>
              </w:rPr>
              <w:t>3</w:t>
            </w:r>
            <w:r w:rsidR="00972AC9" w:rsidRPr="00495094">
              <w:rPr>
                <w:rFonts w:ascii="Arial" w:hAnsi="Arial" w:cs="Arial"/>
                <w:sz w:val="22"/>
                <w:szCs w:val="22"/>
                <w:lang w:val="en-PH"/>
              </w:rPr>
              <w:t>39,586,589</w:t>
            </w:r>
          </w:p>
        </w:tc>
      </w:tr>
      <w:tr w:rsidR="00495094" w:rsidRPr="00495094" w14:paraId="7F0FACF9" w14:textId="77777777" w:rsidTr="00972AC9">
        <w:trPr>
          <w:trHeight w:val="203"/>
        </w:trPr>
        <w:tc>
          <w:tcPr>
            <w:tcW w:w="5670" w:type="dxa"/>
          </w:tcPr>
          <w:p w14:paraId="14F583A6" w14:textId="77777777" w:rsidR="009C6D5E" w:rsidRPr="00495094" w:rsidRDefault="009C6D5E" w:rsidP="00972AC9">
            <w:pPr>
              <w:pStyle w:val="ListParagraph"/>
              <w:tabs>
                <w:tab w:val="clear" w:pos="1526"/>
              </w:tabs>
              <w:rPr>
                <w:lang w:val="en-PH"/>
              </w:rPr>
            </w:pPr>
            <w:r w:rsidRPr="00495094">
              <w:rPr>
                <w:lang w:val="en-PH"/>
              </w:rPr>
              <w:t>Financial Ratios:</w:t>
            </w:r>
          </w:p>
        </w:tc>
        <w:tc>
          <w:tcPr>
            <w:tcW w:w="2365" w:type="dxa"/>
          </w:tcPr>
          <w:p w14:paraId="29C82A68" w14:textId="77777777" w:rsidR="009C6D5E" w:rsidRPr="00495094" w:rsidRDefault="009C6D5E" w:rsidP="009C6D5E">
            <w:pPr>
              <w:jc w:val="center"/>
              <w:rPr>
                <w:rFonts w:ascii="Arial" w:hAnsi="Arial" w:cs="Arial"/>
                <w:sz w:val="22"/>
                <w:szCs w:val="22"/>
                <w:lang w:val="en-PH"/>
              </w:rPr>
            </w:pPr>
          </w:p>
        </w:tc>
      </w:tr>
      <w:tr w:rsidR="00495094" w:rsidRPr="00495094" w14:paraId="21D17F23" w14:textId="77777777" w:rsidTr="00972AC9">
        <w:trPr>
          <w:trHeight w:val="203"/>
        </w:trPr>
        <w:tc>
          <w:tcPr>
            <w:tcW w:w="5670" w:type="dxa"/>
          </w:tcPr>
          <w:p w14:paraId="176BBA74" w14:textId="77777777"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Liquid Assets to Total Assets</w:t>
            </w:r>
          </w:p>
        </w:tc>
        <w:tc>
          <w:tcPr>
            <w:tcW w:w="2365" w:type="dxa"/>
          </w:tcPr>
          <w:p w14:paraId="1ADCC07F" w14:textId="1299EFE4" w:rsidR="009C6D5E" w:rsidRPr="00495094" w:rsidRDefault="00792DEA" w:rsidP="00792DEA">
            <w:pPr>
              <w:jc w:val="center"/>
              <w:rPr>
                <w:rFonts w:ascii="Arial" w:hAnsi="Arial" w:cs="Arial"/>
                <w:sz w:val="22"/>
                <w:szCs w:val="22"/>
                <w:lang w:val="en-PH"/>
              </w:rPr>
            </w:pPr>
            <w:r w:rsidRPr="00495094">
              <w:rPr>
                <w:rFonts w:ascii="Arial" w:hAnsi="Arial" w:cs="Arial"/>
                <w:sz w:val="22"/>
                <w:szCs w:val="22"/>
                <w:lang w:val="en-PH"/>
              </w:rPr>
              <w:t>52</w:t>
            </w:r>
            <w:r w:rsidR="009C6D5E" w:rsidRPr="00495094">
              <w:rPr>
                <w:rFonts w:ascii="Arial" w:hAnsi="Arial" w:cs="Arial"/>
                <w:sz w:val="22"/>
                <w:szCs w:val="22"/>
                <w:lang w:val="en-PH"/>
              </w:rPr>
              <w:t>%</w:t>
            </w:r>
          </w:p>
        </w:tc>
      </w:tr>
      <w:tr w:rsidR="00495094" w:rsidRPr="00495094" w14:paraId="01410733" w14:textId="77777777" w:rsidTr="00972AC9">
        <w:trPr>
          <w:trHeight w:val="203"/>
        </w:trPr>
        <w:tc>
          <w:tcPr>
            <w:tcW w:w="5670" w:type="dxa"/>
          </w:tcPr>
          <w:p w14:paraId="7D0721A0" w14:textId="77777777" w:rsidR="009C6D5E" w:rsidRPr="00495094" w:rsidRDefault="009C6D5E" w:rsidP="009C6D5E">
            <w:pPr>
              <w:rPr>
                <w:rFonts w:ascii="Arial" w:hAnsi="Arial" w:cs="Arial"/>
                <w:sz w:val="22"/>
                <w:szCs w:val="22"/>
                <w:lang w:val="en-PH"/>
              </w:rPr>
            </w:pPr>
            <w:r w:rsidRPr="00495094">
              <w:rPr>
                <w:rFonts w:ascii="Arial" w:hAnsi="Arial" w:cs="Arial"/>
                <w:sz w:val="22"/>
                <w:szCs w:val="22"/>
                <w:lang w:val="en-PH"/>
              </w:rPr>
              <w:t>Liquid Assets to Total Deposits</w:t>
            </w:r>
          </w:p>
        </w:tc>
        <w:tc>
          <w:tcPr>
            <w:tcW w:w="2365" w:type="dxa"/>
          </w:tcPr>
          <w:p w14:paraId="15A1F502" w14:textId="0487AACD" w:rsidR="009C6D5E" w:rsidRPr="00495094" w:rsidRDefault="00792DEA" w:rsidP="00C56A8C">
            <w:pPr>
              <w:jc w:val="center"/>
              <w:rPr>
                <w:rFonts w:ascii="Arial" w:hAnsi="Arial" w:cs="Arial"/>
                <w:sz w:val="22"/>
                <w:szCs w:val="22"/>
                <w:lang w:val="en-PH"/>
              </w:rPr>
            </w:pPr>
            <w:r w:rsidRPr="00495094">
              <w:rPr>
                <w:rFonts w:ascii="Arial" w:hAnsi="Arial" w:cs="Arial"/>
                <w:sz w:val="22"/>
                <w:szCs w:val="22"/>
                <w:lang w:val="en-PH"/>
              </w:rPr>
              <w:t>77</w:t>
            </w:r>
            <w:r w:rsidR="009C6D5E" w:rsidRPr="00495094">
              <w:rPr>
                <w:rFonts w:ascii="Arial" w:hAnsi="Arial" w:cs="Arial"/>
                <w:sz w:val="22"/>
                <w:szCs w:val="22"/>
                <w:lang w:val="en-PH"/>
              </w:rPr>
              <w:t>%</w:t>
            </w:r>
          </w:p>
        </w:tc>
      </w:tr>
    </w:tbl>
    <w:p w14:paraId="463CAC3D" w14:textId="72CA3BDF" w:rsidR="00265E79" w:rsidRPr="00495094" w:rsidRDefault="00265E79" w:rsidP="009C6D5E">
      <w:pPr>
        <w:rPr>
          <w:rFonts w:ascii="Arial" w:hAnsi="Arial" w:cs="Arial"/>
          <w:sz w:val="22"/>
          <w:szCs w:val="22"/>
        </w:rPr>
      </w:pPr>
    </w:p>
    <w:sectPr w:rsidR="00265E79" w:rsidRPr="00495094" w:rsidSect="00872193">
      <w:footerReference w:type="even" r:id="rId8"/>
      <w:footerReference w:type="default" r:id="rId9"/>
      <w:pgSz w:w="11906" w:h="16838" w:code="9"/>
      <w:pgMar w:top="1440" w:right="1440" w:bottom="1440" w:left="1440" w:header="0" w:footer="720" w:gutter="72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DB2E" w14:textId="77777777" w:rsidR="00AF1973" w:rsidRDefault="00AF1973">
      <w:r>
        <w:separator/>
      </w:r>
    </w:p>
  </w:endnote>
  <w:endnote w:type="continuationSeparator" w:id="0">
    <w:p w14:paraId="2C10CFD9" w14:textId="77777777" w:rsidR="00AF1973" w:rsidRDefault="00AF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7601" w14:textId="77777777" w:rsidR="00495094" w:rsidRDefault="0049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AD6B7" w14:textId="77777777" w:rsidR="00495094" w:rsidRDefault="00495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0AA3" w14:textId="77777777" w:rsidR="00495094" w:rsidRPr="00E5264F" w:rsidRDefault="00495094">
    <w:pPr>
      <w:pStyle w:val="Footer"/>
      <w:framePr w:wrap="around" w:vAnchor="text" w:hAnchor="margin" w:xAlign="right" w:y="1"/>
      <w:rPr>
        <w:rStyle w:val="PageNumber"/>
        <w:rFonts w:ascii="Arial" w:hAnsi="Arial" w:cs="Arial"/>
        <w:sz w:val="20"/>
        <w:szCs w:val="20"/>
      </w:rPr>
    </w:pPr>
    <w:r w:rsidRPr="00E5264F">
      <w:rPr>
        <w:rStyle w:val="PageNumber"/>
        <w:rFonts w:ascii="Arial" w:hAnsi="Arial" w:cs="Arial"/>
        <w:sz w:val="20"/>
        <w:szCs w:val="20"/>
      </w:rPr>
      <w:fldChar w:fldCharType="begin"/>
    </w:r>
    <w:r w:rsidRPr="00E5264F">
      <w:rPr>
        <w:rStyle w:val="PageNumber"/>
        <w:rFonts w:ascii="Arial" w:hAnsi="Arial" w:cs="Arial"/>
        <w:sz w:val="20"/>
        <w:szCs w:val="20"/>
      </w:rPr>
      <w:instrText xml:space="preserve">PAGE  </w:instrText>
    </w:r>
    <w:r w:rsidRPr="00E5264F">
      <w:rPr>
        <w:rStyle w:val="PageNumber"/>
        <w:rFonts w:ascii="Arial" w:hAnsi="Arial" w:cs="Arial"/>
        <w:sz w:val="20"/>
        <w:szCs w:val="20"/>
      </w:rPr>
      <w:fldChar w:fldCharType="separate"/>
    </w:r>
    <w:r w:rsidR="00401B5E">
      <w:rPr>
        <w:rStyle w:val="PageNumber"/>
        <w:rFonts w:ascii="Arial" w:hAnsi="Arial" w:cs="Arial"/>
        <w:noProof/>
        <w:sz w:val="20"/>
        <w:szCs w:val="20"/>
      </w:rPr>
      <w:t>22</w:t>
    </w:r>
    <w:r w:rsidRPr="00E5264F">
      <w:rPr>
        <w:rStyle w:val="PageNumber"/>
        <w:rFonts w:ascii="Arial" w:hAnsi="Arial" w:cs="Arial"/>
        <w:sz w:val="20"/>
        <w:szCs w:val="20"/>
      </w:rPr>
      <w:fldChar w:fldCharType="end"/>
    </w:r>
  </w:p>
  <w:p w14:paraId="4078DE57" w14:textId="77777777" w:rsidR="00495094" w:rsidRDefault="004950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B44C" w14:textId="77777777" w:rsidR="00AF1973" w:rsidRDefault="00AF1973">
      <w:r>
        <w:separator/>
      </w:r>
    </w:p>
  </w:footnote>
  <w:footnote w:type="continuationSeparator" w:id="0">
    <w:p w14:paraId="401AF30F" w14:textId="77777777" w:rsidR="00AF1973" w:rsidRDefault="00AF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1DA"/>
    <w:multiLevelType w:val="hybridMultilevel"/>
    <w:tmpl w:val="975AE678"/>
    <w:lvl w:ilvl="0" w:tplc="BFB63432">
      <w:start w:val="1"/>
      <w:numFmt w:val="lowerRoman"/>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 w15:restartNumberingAfterBreak="0">
    <w:nsid w:val="15447C89"/>
    <w:multiLevelType w:val="hybridMultilevel"/>
    <w:tmpl w:val="B738680A"/>
    <w:lvl w:ilvl="0" w:tplc="3409001B">
      <w:start w:val="1"/>
      <w:numFmt w:val="low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2A262C1D"/>
    <w:multiLevelType w:val="hybridMultilevel"/>
    <w:tmpl w:val="0F0CA206"/>
    <w:lvl w:ilvl="0" w:tplc="34090001">
      <w:start w:val="1"/>
      <w:numFmt w:val="bullet"/>
      <w:lvlText w:val=""/>
      <w:lvlJc w:val="left"/>
      <w:pPr>
        <w:ind w:left="1920" w:hanging="360"/>
      </w:pPr>
      <w:rPr>
        <w:rFonts w:ascii="Symbol" w:hAnsi="Symbol" w:hint="default"/>
      </w:rPr>
    </w:lvl>
    <w:lvl w:ilvl="1" w:tplc="34090003" w:tentative="1">
      <w:start w:val="1"/>
      <w:numFmt w:val="bullet"/>
      <w:lvlText w:val="o"/>
      <w:lvlJc w:val="left"/>
      <w:pPr>
        <w:ind w:left="2640" w:hanging="360"/>
      </w:pPr>
      <w:rPr>
        <w:rFonts w:ascii="Courier New" w:hAnsi="Courier New" w:cs="Courier New" w:hint="default"/>
      </w:rPr>
    </w:lvl>
    <w:lvl w:ilvl="2" w:tplc="34090005" w:tentative="1">
      <w:start w:val="1"/>
      <w:numFmt w:val="bullet"/>
      <w:lvlText w:val=""/>
      <w:lvlJc w:val="left"/>
      <w:pPr>
        <w:ind w:left="3360" w:hanging="360"/>
      </w:pPr>
      <w:rPr>
        <w:rFonts w:ascii="Wingdings" w:hAnsi="Wingdings" w:hint="default"/>
      </w:rPr>
    </w:lvl>
    <w:lvl w:ilvl="3" w:tplc="34090001" w:tentative="1">
      <w:start w:val="1"/>
      <w:numFmt w:val="bullet"/>
      <w:lvlText w:val=""/>
      <w:lvlJc w:val="left"/>
      <w:pPr>
        <w:ind w:left="4080" w:hanging="360"/>
      </w:pPr>
      <w:rPr>
        <w:rFonts w:ascii="Symbol" w:hAnsi="Symbol" w:hint="default"/>
      </w:rPr>
    </w:lvl>
    <w:lvl w:ilvl="4" w:tplc="34090003" w:tentative="1">
      <w:start w:val="1"/>
      <w:numFmt w:val="bullet"/>
      <w:lvlText w:val="o"/>
      <w:lvlJc w:val="left"/>
      <w:pPr>
        <w:ind w:left="4800" w:hanging="360"/>
      </w:pPr>
      <w:rPr>
        <w:rFonts w:ascii="Courier New" w:hAnsi="Courier New" w:cs="Courier New" w:hint="default"/>
      </w:rPr>
    </w:lvl>
    <w:lvl w:ilvl="5" w:tplc="34090005" w:tentative="1">
      <w:start w:val="1"/>
      <w:numFmt w:val="bullet"/>
      <w:lvlText w:val=""/>
      <w:lvlJc w:val="left"/>
      <w:pPr>
        <w:ind w:left="5520" w:hanging="360"/>
      </w:pPr>
      <w:rPr>
        <w:rFonts w:ascii="Wingdings" w:hAnsi="Wingdings" w:hint="default"/>
      </w:rPr>
    </w:lvl>
    <w:lvl w:ilvl="6" w:tplc="34090001" w:tentative="1">
      <w:start w:val="1"/>
      <w:numFmt w:val="bullet"/>
      <w:lvlText w:val=""/>
      <w:lvlJc w:val="left"/>
      <w:pPr>
        <w:ind w:left="6240" w:hanging="360"/>
      </w:pPr>
      <w:rPr>
        <w:rFonts w:ascii="Symbol" w:hAnsi="Symbol" w:hint="default"/>
      </w:rPr>
    </w:lvl>
    <w:lvl w:ilvl="7" w:tplc="34090003" w:tentative="1">
      <w:start w:val="1"/>
      <w:numFmt w:val="bullet"/>
      <w:lvlText w:val="o"/>
      <w:lvlJc w:val="left"/>
      <w:pPr>
        <w:ind w:left="6960" w:hanging="360"/>
      </w:pPr>
      <w:rPr>
        <w:rFonts w:ascii="Courier New" w:hAnsi="Courier New" w:cs="Courier New" w:hint="default"/>
      </w:rPr>
    </w:lvl>
    <w:lvl w:ilvl="8" w:tplc="34090005" w:tentative="1">
      <w:start w:val="1"/>
      <w:numFmt w:val="bullet"/>
      <w:lvlText w:val=""/>
      <w:lvlJc w:val="left"/>
      <w:pPr>
        <w:ind w:left="7680" w:hanging="360"/>
      </w:pPr>
      <w:rPr>
        <w:rFonts w:ascii="Wingdings" w:hAnsi="Wingdings" w:hint="default"/>
      </w:rPr>
    </w:lvl>
  </w:abstractNum>
  <w:abstractNum w:abstractNumId="3" w15:restartNumberingAfterBreak="0">
    <w:nsid w:val="308F2191"/>
    <w:multiLevelType w:val="hybridMultilevel"/>
    <w:tmpl w:val="C538A080"/>
    <w:lvl w:ilvl="0" w:tplc="DF5ED4A8">
      <w:start w:val="1"/>
      <w:numFmt w:val="lowerLetter"/>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4" w15:restartNumberingAfterBreak="0">
    <w:nsid w:val="3E2D7EF1"/>
    <w:multiLevelType w:val="multilevel"/>
    <w:tmpl w:val="525C08CC"/>
    <w:styleLink w:val="Style1"/>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59D4B12"/>
    <w:multiLevelType w:val="multilevel"/>
    <w:tmpl w:val="A7C0EACA"/>
    <w:lvl w:ilvl="0">
      <w:start w:val="1"/>
      <w:numFmt w:val="decimal"/>
      <w:lvlText w:val="%1."/>
      <w:lvlJc w:val="left"/>
      <w:pPr>
        <w:ind w:left="1080" w:hanging="720"/>
      </w:pPr>
      <w:rPr>
        <w:rFonts w:ascii="Arial" w:hAnsi="Arial" w:cs="Arial" w:hint="default"/>
        <w:b/>
        <w:sz w:val="22"/>
        <w:szCs w:val="22"/>
        <w:u w:val="none"/>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7743F0"/>
    <w:multiLevelType w:val="hybridMultilevel"/>
    <w:tmpl w:val="EEF4B50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F52318F"/>
    <w:multiLevelType w:val="hybridMultilevel"/>
    <w:tmpl w:val="0F022098"/>
    <w:lvl w:ilvl="0" w:tplc="34090001">
      <w:start w:val="1"/>
      <w:numFmt w:val="bullet"/>
      <w:lvlText w:val=""/>
      <w:lvlJc w:val="left"/>
      <w:pPr>
        <w:ind w:left="1560" w:hanging="360"/>
      </w:pPr>
      <w:rPr>
        <w:rFonts w:ascii="Symbol" w:hAnsi="Symbol" w:hint="default"/>
      </w:rPr>
    </w:lvl>
    <w:lvl w:ilvl="1" w:tplc="34090003" w:tentative="1">
      <w:start w:val="1"/>
      <w:numFmt w:val="bullet"/>
      <w:lvlText w:val="o"/>
      <w:lvlJc w:val="left"/>
      <w:pPr>
        <w:ind w:left="2280" w:hanging="360"/>
      </w:pPr>
      <w:rPr>
        <w:rFonts w:ascii="Courier New" w:hAnsi="Courier New" w:cs="Courier New" w:hint="default"/>
      </w:rPr>
    </w:lvl>
    <w:lvl w:ilvl="2" w:tplc="34090005" w:tentative="1">
      <w:start w:val="1"/>
      <w:numFmt w:val="bullet"/>
      <w:lvlText w:val=""/>
      <w:lvlJc w:val="left"/>
      <w:pPr>
        <w:ind w:left="3000" w:hanging="360"/>
      </w:pPr>
      <w:rPr>
        <w:rFonts w:ascii="Wingdings" w:hAnsi="Wingdings" w:hint="default"/>
      </w:rPr>
    </w:lvl>
    <w:lvl w:ilvl="3" w:tplc="34090001" w:tentative="1">
      <w:start w:val="1"/>
      <w:numFmt w:val="bullet"/>
      <w:lvlText w:val=""/>
      <w:lvlJc w:val="left"/>
      <w:pPr>
        <w:ind w:left="3720" w:hanging="360"/>
      </w:pPr>
      <w:rPr>
        <w:rFonts w:ascii="Symbol" w:hAnsi="Symbol" w:hint="default"/>
      </w:rPr>
    </w:lvl>
    <w:lvl w:ilvl="4" w:tplc="34090003" w:tentative="1">
      <w:start w:val="1"/>
      <w:numFmt w:val="bullet"/>
      <w:lvlText w:val="o"/>
      <w:lvlJc w:val="left"/>
      <w:pPr>
        <w:ind w:left="4440" w:hanging="360"/>
      </w:pPr>
      <w:rPr>
        <w:rFonts w:ascii="Courier New" w:hAnsi="Courier New" w:cs="Courier New" w:hint="default"/>
      </w:rPr>
    </w:lvl>
    <w:lvl w:ilvl="5" w:tplc="34090005" w:tentative="1">
      <w:start w:val="1"/>
      <w:numFmt w:val="bullet"/>
      <w:lvlText w:val=""/>
      <w:lvlJc w:val="left"/>
      <w:pPr>
        <w:ind w:left="5160" w:hanging="360"/>
      </w:pPr>
      <w:rPr>
        <w:rFonts w:ascii="Wingdings" w:hAnsi="Wingdings" w:hint="default"/>
      </w:rPr>
    </w:lvl>
    <w:lvl w:ilvl="6" w:tplc="34090001" w:tentative="1">
      <w:start w:val="1"/>
      <w:numFmt w:val="bullet"/>
      <w:lvlText w:val=""/>
      <w:lvlJc w:val="left"/>
      <w:pPr>
        <w:ind w:left="5880" w:hanging="360"/>
      </w:pPr>
      <w:rPr>
        <w:rFonts w:ascii="Symbol" w:hAnsi="Symbol" w:hint="default"/>
      </w:rPr>
    </w:lvl>
    <w:lvl w:ilvl="7" w:tplc="34090003" w:tentative="1">
      <w:start w:val="1"/>
      <w:numFmt w:val="bullet"/>
      <w:lvlText w:val="o"/>
      <w:lvlJc w:val="left"/>
      <w:pPr>
        <w:ind w:left="6600" w:hanging="360"/>
      </w:pPr>
      <w:rPr>
        <w:rFonts w:ascii="Courier New" w:hAnsi="Courier New" w:cs="Courier New" w:hint="default"/>
      </w:rPr>
    </w:lvl>
    <w:lvl w:ilvl="8" w:tplc="34090005" w:tentative="1">
      <w:start w:val="1"/>
      <w:numFmt w:val="bullet"/>
      <w:lvlText w:val=""/>
      <w:lvlJc w:val="left"/>
      <w:pPr>
        <w:ind w:left="7320" w:hanging="360"/>
      </w:pPr>
      <w:rPr>
        <w:rFonts w:ascii="Wingdings" w:hAnsi="Wingdings" w:hint="default"/>
      </w:rPr>
    </w:lvl>
  </w:abstractNum>
  <w:abstractNum w:abstractNumId="8" w15:restartNumberingAfterBreak="0">
    <w:nsid w:val="51D07145"/>
    <w:multiLevelType w:val="hybridMultilevel"/>
    <w:tmpl w:val="161EF244"/>
    <w:lvl w:ilvl="0" w:tplc="BFEE7DCE">
      <w:start w:val="1"/>
      <w:numFmt w:val="lowerLetter"/>
      <w:lvlText w:val="%1."/>
      <w:lvlJc w:val="left"/>
      <w:pPr>
        <w:ind w:left="1080" w:hanging="360"/>
      </w:pPr>
      <w:rPr>
        <w:rFonts w:hint="default"/>
        <w:u w:val="none"/>
      </w:rPr>
    </w:lvl>
    <w:lvl w:ilvl="1" w:tplc="9E1ADDCA">
      <w:start w:val="26"/>
      <w:numFmt w:val="decimal"/>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B1D6D3BE">
      <w:start w:val="2013"/>
      <w:numFmt w:val="decimal"/>
      <w:lvlText w:val="%4"/>
      <w:lvlJc w:val="left"/>
      <w:pPr>
        <w:tabs>
          <w:tab w:val="num" w:pos="5040"/>
        </w:tabs>
        <w:ind w:left="5040" w:hanging="21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4447B"/>
    <w:multiLevelType w:val="hybridMultilevel"/>
    <w:tmpl w:val="8340B406"/>
    <w:lvl w:ilvl="0" w:tplc="DAB87C0E">
      <w:start w:val="1"/>
      <w:numFmt w:val="lowerLetter"/>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0" w15:restartNumberingAfterBreak="0">
    <w:nsid w:val="64C11097"/>
    <w:multiLevelType w:val="hybridMultilevel"/>
    <w:tmpl w:val="32C6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845F0"/>
    <w:multiLevelType w:val="multilevel"/>
    <w:tmpl w:val="89749626"/>
    <w:lvl w:ilvl="0">
      <w:start w:val="2"/>
      <w:numFmt w:val="decimal"/>
      <w:lvlText w:val="%1."/>
      <w:lvlJc w:val="left"/>
      <w:pPr>
        <w:ind w:left="1997" w:hanging="720"/>
      </w:pPr>
      <w:rPr>
        <w:rFonts w:ascii="Arial" w:hAnsi="Arial" w:cs="Arial" w:hint="default"/>
        <w:b/>
        <w:sz w:val="22"/>
        <w:szCs w:val="22"/>
        <w:u w:val="none"/>
      </w:rPr>
    </w:lvl>
    <w:lvl w:ilvl="1">
      <w:start w:val="1"/>
      <w:numFmt w:val="decimal"/>
      <w:isLgl/>
      <w:lvlText w:val="%1.%2"/>
      <w:lvlJc w:val="left"/>
      <w:pPr>
        <w:ind w:left="1288"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F268E1"/>
    <w:multiLevelType w:val="hybridMultilevel"/>
    <w:tmpl w:val="8340B406"/>
    <w:lvl w:ilvl="0" w:tplc="DAB87C0E">
      <w:start w:val="1"/>
      <w:numFmt w:val="lowerLetter"/>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3" w15:restartNumberingAfterBreak="0">
    <w:nsid w:val="6F2C4342"/>
    <w:multiLevelType w:val="hybridMultilevel"/>
    <w:tmpl w:val="C4D478C0"/>
    <w:lvl w:ilvl="0" w:tplc="3409001B">
      <w:start w:val="1"/>
      <w:numFmt w:val="lowerRoman"/>
      <w:lvlText w:val="%1."/>
      <w:lvlJc w:val="righ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703A37CA"/>
    <w:multiLevelType w:val="multilevel"/>
    <w:tmpl w:val="E08608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10173C1"/>
    <w:multiLevelType w:val="hybridMultilevel"/>
    <w:tmpl w:val="E3747E68"/>
    <w:lvl w:ilvl="0" w:tplc="3409001B">
      <w:start w:val="1"/>
      <w:numFmt w:val="lowerRoman"/>
      <w:lvlText w:val="%1."/>
      <w:lvlJc w:val="righ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73A30607"/>
    <w:multiLevelType w:val="hybridMultilevel"/>
    <w:tmpl w:val="6F322E62"/>
    <w:lvl w:ilvl="0" w:tplc="473885A4">
      <w:start w:val="1"/>
      <w:numFmt w:val="lowerLetter"/>
      <w:lvlText w:val="%1."/>
      <w:lvlJc w:val="left"/>
      <w:pPr>
        <w:ind w:left="360"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num w:numId="1">
    <w:abstractNumId w:val="8"/>
  </w:num>
  <w:num w:numId="2">
    <w:abstractNumId w:val="5"/>
  </w:num>
  <w:num w:numId="3">
    <w:abstractNumId w:val="4"/>
  </w:num>
  <w:num w:numId="4">
    <w:abstractNumId w:val="3"/>
  </w:num>
  <w:num w:numId="5">
    <w:abstractNumId w:val="6"/>
  </w:num>
  <w:num w:numId="6">
    <w:abstractNumId w:val="13"/>
  </w:num>
  <w:num w:numId="7">
    <w:abstractNumId w:val="1"/>
  </w:num>
  <w:num w:numId="8">
    <w:abstractNumId w:val="14"/>
  </w:num>
  <w:num w:numId="9">
    <w:abstractNumId w:val="10"/>
  </w:num>
  <w:num w:numId="10">
    <w:abstractNumId w:val="15"/>
  </w:num>
  <w:num w:numId="11">
    <w:abstractNumId w:val="12"/>
  </w:num>
  <w:num w:numId="12">
    <w:abstractNumId w:val="11"/>
  </w:num>
  <w:num w:numId="13">
    <w:abstractNumId w:val="9"/>
  </w:num>
  <w:num w:numId="14">
    <w:abstractNumId w:val="2"/>
  </w:num>
  <w:num w:numId="15">
    <w:abstractNumId w:val="7"/>
  </w:num>
  <w:num w:numId="16">
    <w:abstractNumId w:val="0"/>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8tssxLIaETklsNEQfzCrcH604r+Y+jwJQB7Bn1CfDN4ubBP0cfDNVnx3QlieRCN4hBwLCaI0XaGHPErmGGN2A==" w:salt="n+SFGEGK67DSaprXvtYxi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251"/>
    <w:rsid w:val="000019BE"/>
    <w:rsid w:val="000020FE"/>
    <w:rsid w:val="000024EF"/>
    <w:rsid w:val="00002948"/>
    <w:rsid w:val="00003009"/>
    <w:rsid w:val="00004A5F"/>
    <w:rsid w:val="000070D2"/>
    <w:rsid w:val="0000750B"/>
    <w:rsid w:val="00010919"/>
    <w:rsid w:val="00010C1D"/>
    <w:rsid w:val="0001114A"/>
    <w:rsid w:val="00011BDF"/>
    <w:rsid w:val="00012D25"/>
    <w:rsid w:val="00012D2D"/>
    <w:rsid w:val="00012FBC"/>
    <w:rsid w:val="00014D00"/>
    <w:rsid w:val="00015F22"/>
    <w:rsid w:val="00016EDC"/>
    <w:rsid w:val="00017420"/>
    <w:rsid w:val="000174F3"/>
    <w:rsid w:val="000175E2"/>
    <w:rsid w:val="000179A6"/>
    <w:rsid w:val="00017B83"/>
    <w:rsid w:val="00021237"/>
    <w:rsid w:val="00021DB0"/>
    <w:rsid w:val="0002298B"/>
    <w:rsid w:val="00022C09"/>
    <w:rsid w:val="00023B37"/>
    <w:rsid w:val="00023EED"/>
    <w:rsid w:val="00023FD2"/>
    <w:rsid w:val="00024231"/>
    <w:rsid w:val="00026722"/>
    <w:rsid w:val="00026971"/>
    <w:rsid w:val="00026F02"/>
    <w:rsid w:val="00027157"/>
    <w:rsid w:val="00027AFC"/>
    <w:rsid w:val="00030950"/>
    <w:rsid w:val="00031237"/>
    <w:rsid w:val="000312A1"/>
    <w:rsid w:val="00031792"/>
    <w:rsid w:val="00031A04"/>
    <w:rsid w:val="00031F0C"/>
    <w:rsid w:val="000324A1"/>
    <w:rsid w:val="000325F3"/>
    <w:rsid w:val="000341BD"/>
    <w:rsid w:val="00034E6F"/>
    <w:rsid w:val="00036A5C"/>
    <w:rsid w:val="00036BA7"/>
    <w:rsid w:val="00037B3F"/>
    <w:rsid w:val="000406F2"/>
    <w:rsid w:val="00040E6C"/>
    <w:rsid w:val="00041112"/>
    <w:rsid w:val="000416CC"/>
    <w:rsid w:val="000418FE"/>
    <w:rsid w:val="00042335"/>
    <w:rsid w:val="00044559"/>
    <w:rsid w:val="0004476D"/>
    <w:rsid w:val="00044771"/>
    <w:rsid w:val="00045E21"/>
    <w:rsid w:val="00045F36"/>
    <w:rsid w:val="00045FF7"/>
    <w:rsid w:val="0004716F"/>
    <w:rsid w:val="00050000"/>
    <w:rsid w:val="00050BA0"/>
    <w:rsid w:val="00050C23"/>
    <w:rsid w:val="00051777"/>
    <w:rsid w:val="00051EA5"/>
    <w:rsid w:val="00052583"/>
    <w:rsid w:val="000526ED"/>
    <w:rsid w:val="000534F6"/>
    <w:rsid w:val="0005552F"/>
    <w:rsid w:val="00055C44"/>
    <w:rsid w:val="00056A02"/>
    <w:rsid w:val="00056B61"/>
    <w:rsid w:val="0005716E"/>
    <w:rsid w:val="000572C3"/>
    <w:rsid w:val="000610A9"/>
    <w:rsid w:val="000638ED"/>
    <w:rsid w:val="0006415F"/>
    <w:rsid w:val="00064429"/>
    <w:rsid w:val="0006570C"/>
    <w:rsid w:val="00066431"/>
    <w:rsid w:val="00066B07"/>
    <w:rsid w:val="00066EE2"/>
    <w:rsid w:val="00067187"/>
    <w:rsid w:val="00067936"/>
    <w:rsid w:val="00067DE7"/>
    <w:rsid w:val="0007085C"/>
    <w:rsid w:val="00070C6C"/>
    <w:rsid w:val="00070DF8"/>
    <w:rsid w:val="00071044"/>
    <w:rsid w:val="00072337"/>
    <w:rsid w:val="0007319D"/>
    <w:rsid w:val="00073D9D"/>
    <w:rsid w:val="00074224"/>
    <w:rsid w:val="000743CE"/>
    <w:rsid w:val="00074A23"/>
    <w:rsid w:val="000753EB"/>
    <w:rsid w:val="000754F2"/>
    <w:rsid w:val="000756FD"/>
    <w:rsid w:val="00075CBA"/>
    <w:rsid w:val="00075EF1"/>
    <w:rsid w:val="00076BAE"/>
    <w:rsid w:val="00076DC5"/>
    <w:rsid w:val="000800D6"/>
    <w:rsid w:val="000803E4"/>
    <w:rsid w:val="0008060A"/>
    <w:rsid w:val="00080904"/>
    <w:rsid w:val="00080D2B"/>
    <w:rsid w:val="000830A9"/>
    <w:rsid w:val="000836E3"/>
    <w:rsid w:val="0008410C"/>
    <w:rsid w:val="00084217"/>
    <w:rsid w:val="00084A7E"/>
    <w:rsid w:val="00085AA6"/>
    <w:rsid w:val="00085D83"/>
    <w:rsid w:val="00085E9D"/>
    <w:rsid w:val="00086C9E"/>
    <w:rsid w:val="00087A1F"/>
    <w:rsid w:val="00087D3F"/>
    <w:rsid w:val="00090110"/>
    <w:rsid w:val="000925A2"/>
    <w:rsid w:val="00093018"/>
    <w:rsid w:val="00093182"/>
    <w:rsid w:val="000933C7"/>
    <w:rsid w:val="0009374A"/>
    <w:rsid w:val="00093783"/>
    <w:rsid w:val="00093886"/>
    <w:rsid w:val="00094714"/>
    <w:rsid w:val="00094D47"/>
    <w:rsid w:val="00097BA7"/>
    <w:rsid w:val="000A101F"/>
    <w:rsid w:val="000A1A44"/>
    <w:rsid w:val="000A1B56"/>
    <w:rsid w:val="000A4367"/>
    <w:rsid w:val="000A4A31"/>
    <w:rsid w:val="000A51CA"/>
    <w:rsid w:val="000A6E74"/>
    <w:rsid w:val="000A6F20"/>
    <w:rsid w:val="000A75F4"/>
    <w:rsid w:val="000A7F62"/>
    <w:rsid w:val="000B22EE"/>
    <w:rsid w:val="000B2370"/>
    <w:rsid w:val="000B2FE7"/>
    <w:rsid w:val="000B3835"/>
    <w:rsid w:val="000B46BE"/>
    <w:rsid w:val="000B4DEC"/>
    <w:rsid w:val="000B4F1E"/>
    <w:rsid w:val="000B56F0"/>
    <w:rsid w:val="000B5DA0"/>
    <w:rsid w:val="000B6784"/>
    <w:rsid w:val="000B7143"/>
    <w:rsid w:val="000B77DE"/>
    <w:rsid w:val="000B7A75"/>
    <w:rsid w:val="000B7A86"/>
    <w:rsid w:val="000C0145"/>
    <w:rsid w:val="000C01C1"/>
    <w:rsid w:val="000C11FE"/>
    <w:rsid w:val="000C1260"/>
    <w:rsid w:val="000C1FE7"/>
    <w:rsid w:val="000C299E"/>
    <w:rsid w:val="000C2C21"/>
    <w:rsid w:val="000C31E4"/>
    <w:rsid w:val="000C3FCC"/>
    <w:rsid w:val="000C4090"/>
    <w:rsid w:val="000C4269"/>
    <w:rsid w:val="000C4283"/>
    <w:rsid w:val="000C4681"/>
    <w:rsid w:val="000C6682"/>
    <w:rsid w:val="000C6AD1"/>
    <w:rsid w:val="000C6C1B"/>
    <w:rsid w:val="000C6D08"/>
    <w:rsid w:val="000C7ADA"/>
    <w:rsid w:val="000C7BD3"/>
    <w:rsid w:val="000D2B1D"/>
    <w:rsid w:val="000D2E6B"/>
    <w:rsid w:val="000D38B4"/>
    <w:rsid w:val="000D4ADC"/>
    <w:rsid w:val="000D4F01"/>
    <w:rsid w:val="000D5E6D"/>
    <w:rsid w:val="000D68A0"/>
    <w:rsid w:val="000D6A55"/>
    <w:rsid w:val="000D729D"/>
    <w:rsid w:val="000D72D2"/>
    <w:rsid w:val="000E08AA"/>
    <w:rsid w:val="000E1DAC"/>
    <w:rsid w:val="000E1F6A"/>
    <w:rsid w:val="000E3015"/>
    <w:rsid w:val="000E48CB"/>
    <w:rsid w:val="000E542A"/>
    <w:rsid w:val="000E6383"/>
    <w:rsid w:val="000E6868"/>
    <w:rsid w:val="000E6BD3"/>
    <w:rsid w:val="000E6E85"/>
    <w:rsid w:val="000E6E9D"/>
    <w:rsid w:val="000E6F20"/>
    <w:rsid w:val="000F0730"/>
    <w:rsid w:val="000F0F2C"/>
    <w:rsid w:val="000F1C37"/>
    <w:rsid w:val="000F1E4D"/>
    <w:rsid w:val="000F3517"/>
    <w:rsid w:val="000F3CE3"/>
    <w:rsid w:val="000F4790"/>
    <w:rsid w:val="000F7F4E"/>
    <w:rsid w:val="00100DFB"/>
    <w:rsid w:val="00101888"/>
    <w:rsid w:val="00101D8C"/>
    <w:rsid w:val="001020C7"/>
    <w:rsid w:val="00102C7F"/>
    <w:rsid w:val="00102FB5"/>
    <w:rsid w:val="00103863"/>
    <w:rsid w:val="0010387A"/>
    <w:rsid w:val="00103DE3"/>
    <w:rsid w:val="00103E00"/>
    <w:rsid w:val="00103F9A"/>
    <w:rsid w:val="00104BCF"/>
    <w:rsid w:val="0010625C"/>
    <w:rsid w:val="001066BE"/>
    <w:rsid w:val="00106B37"/>
    <w:rsid w:val="00106C3A"/>
    <w:rsid w:val="00106E9B"/>
    <w:rsid w:val="001102C4"/>
    <w:rsid w:val="00110716"/>
    <w:rsid w:val="00110D32"/>
    <w:rsid w:val="0011122A"/>
    <w:rsid w:val="00112600"/>
    <w:rsid w:val="001127D8"/>
    <w:rsid w:val="00113336"/>
    <w:rsid w:val="00113652"/>
    <w:rsid w:val="00113CBD"/>
    <w:rsid w:val="0011511B"/>
    <w:rsid w:val="00115138"/>
    <w:rsid w:val="001165E9"/>
    <w:rsid w:val="00117407"/>
    <w:rsid w:val="001175EF"/>
    <w:rsid w:val="00121117"/>
    <w:rsid w:val="001212CC"/>
    <w:rsid w:val="00122157"/>
    <w:rsid w:val="00122814"/>
    <w:rsid w:val="0012293B"/>
    <w:rsid w:val="00122F65"/>
    <w:rsid w:val="0012320D"/>
    <w:rsid w:val="00125284"/>
    <w:rsid w:val="001254C8"/>
    <w:rsid w:val="0012553A"/>
    <w:rsid w:val="00126458"/>
    <w:rsid w:val="00126506"/>
    <w:rsid w:val="001304F2"/>
    <w:rsid w:val="00131040"/>
    <w:rsid w:val="00132E0D"/>
    <w:rsid w:val="0013328D"/>
    <w:rsid w:val="00134EE8"/>
    <w:rsid w:val="00134FD3"/>
    <w:rsid w:val="00135334"/>
    <w:rsid w:val="001353CE"/>
    <w:rsid w:val="00135831"/>
    <w:rsid w:val="00136119"/>
    <w:rsid w:val="00137EB8"/>
    <w:rsid w:val="00140A44"/>
    <w:rsid w:val="001414C4"/>
    <w:rsid w:val="001426B2"/>
    <w:rsid w:val="001456F9"/>
    <w:rsid w:val="00146293"/>
    <w:rsid w:val="001478DD"/>
    <w:rsid w:val="0015076E"/>
    <w:rsid w:val="00151BC9"/>
    <w:rsid w:val="001520B8"/>
    <w:rsid w:val="0015218E"/>
    <w:rsid w:val="00152803"/>
    <w:rsid w:val="00152DAF"/>
    <w:rsid w:val="00153778"/>
    <w:rsid w:val="00153DB1"/>
    <w:rsid w:val="00154166"/>
    <w:rsid w:val="001579F0"/>
    <w:rsid w:val="00157EF2"/>
    <w:rsid w:val="001628AE"/>
    <w:rsid w:val="00162B53"/>
    <w:rsid w:val="00163E74"/>
    <w:rsid w:val="00163E88"/>
    <w:rsid w:val="001643F8"/>
    <w:rsid w:val="00164EDC"/>
    <w:rsid w:val="00166EFB"/>
    <w:rsid w:val="001671C5"/>
    <w:rsid w:val="001671CD"/>
    <w:rsid w:val="00170272"/>
    <w:rsid w:val="001702B9"/>
    <w:rsid w:val="00171267"/>
    <w:rsid w:val="001729E8"/>
    <w:rsid w:val="00174210"/>
    <w:rsid w:val="0017425A"/>
    <w:rsid w:val="001751F9"/>
    <w:rsid w:val="001761A6"/>
    <w:rsid w:val="001764E3"/>
    <w:rsid w:val="00176B56"/>
    <w:rsid w:val="00176B75"/>
    <w:rsid w:val="00176F6F"/>
    <w:rsid w:val="00177702"/>
    <w:rsid w:val="00180246"/>
    <w:rsid w:val="001812C2"/>
    <w:rsid w:val="001819E6"/>
    <w:rsid w:val="00182608"/>
    <w:rsid w:val="00182813"/>
    <w:rsid w:val="00182A50"/>
    <w:rsid w:val="00183532"/>
    <w:rsid w:val="00183FE4"/>
    <w:rsid w:val="001846E6"/>
    <w:rsid w:val="00185683"/>
    <w:rsid w:val="00185B65"/>
    <w:rsid w:val="001863DC"/>
    <w:rsid w:val="001870ED"/>
    <w:rsid w:val="0018732B"/>
    <w:rsid w:val="0018740A"/>
    <w:rsid w:val="00190ADA"/>
    <w:rsid w:val="00191771"/>
    <w:rsid w:val="00191A99"/>
    <w:rsid w:val="0019215A"/>
    <w:rsid w:val="00192FBF"/>
    <w:rsid w:val="001931DC"/>
    <w:rsid w:val="0019421F"/>
    <w:rsid w:val="00195B41"/>
    <w:rsid w:val="00196560"/>
    <w:rsid w:val="0019693D"/>
    <w:rsid w:val="001A0E1C"/>
    <w:rsid w:val="001A2E55"/>
    <w:rsid w:val="001A3487"/>
    <w:rsid w:val="001A3CCF"/>
    <w:rsid w:val="001A3D7B"/>
    <w:rsid w:val="001A4117"/>
    <w:rsid w:val="001A466E"/>
    <w:rsid w:val="001A58E6"/>
    <w:rsid w:val="001A69AB"/>
    <w:rsid w:val="001A78C0"/>
    <w:rsid w:val="001A7C0C"/>
    <w:rsid w:val="001B047F"/>
    <w:rsid w:val="001B0B97"/>
    <w:rsid w:val="001B164D"/>
    <w:rsid w:val="001B266C"/>
    <w:rsid w:val="001B2EE8"/>
    <w:rsid w:val="001B2F51"/>
    <w:rsid w:val="001B34B4"/>
    <w:rsid w:val="001B4DCE"/>
    <w:rsid w:val="001B70B8"/>
    <w:rsid w:val="001B74D6"/>
    <w:rsid w:val="001C0441"/>
    <w:rsid w:val="001C0BB0"/>
    <w:rsid w:val="001C108D"/>
    <w:rsid w:val="001C114D"/>
    <w:rsid w:val="001C14E5"/>
    <w:rsid w:val="001C1936"/>
    <w:rsid w:val="001C1E81"/>
    <w:rsid w:val="001C273A"/>
    <w:rsid w:val="001C3838"/>
    <w:rsid w:val="001C4BB8"/>
    <w:rsid w:val="001C4CB2"/>
    <w:rsid w:val="001C565A"/>
    <w:rsid w:val="001C6C23"/>
    <w:rsid w:val="001C7E66"/>
    <w:rsid w:val="001D0A8D"/>
    <w:rsid w:val="001D0F18"/>
    <w:rsid w:val="001D21D3"/>
    <w:rsid w:val="001D2ABE"/>
    <w:rsid w:val="001D34F1"/>
    <w:rsid w:val="001D5C0C"/>
    <w:rsid w:val="001D6AE6"/>
    <w:rsid w:val="001D7928"/>
    <w:rsid w:val="001D7CCB"/>
    <w:rsid w:val="001E14EA"/>
    <w:rsid w:val="001E1ECC"/>
    <w:rsid w:val="001E2505"/>
    <w:rsid w:val="001E29EB"/>
    <w:rsid w:val="001E324E"/>
    <w:rsid w:val="001E425C"/>
    <w:rsid w:val="001E445A"/>
    <w:rsid w:val="001E4F8B"/>
    <w:rsid w:val="001E52A2"/>
    <w:rsid w:val="001E5517"/>
    <w:rsid w:val="001E645C"/>
    <w:rsid w:val="001E6934"/>
    <w:rsid w:val="001E6A9C"/>
    <w:rsid w:val="001E6EFB"/>
    <w:rsid w:val="001E7808"/>
    <w:rsid w:val="001E7C1F"/>
    <w:rsid w:val="001F2623"/>
    <w:rsid w:val="001F2EFD"/>
    <w:rsid w:val="001F30F9"/>
    <w:rsid w:val="001F3786"/>
    <w:rsid w:val="001F5280"/>
    <w:rsid w:val="001F6CFF"/>
    <w:rsid w:val="001F7199"/>
    <w:rsid w:val="001F724D"/>
    <w:rsid w:val="001F7602"/>
    <w:rsid w:val="00200551"/>
    <w:rsid w:val="0020162E"/>
    <w:rsid w:val="00202828"/>
    <w:rsid w:val="0020318E"/>
    <w:rsid w:val="00211478"/>
    <w:rsid w:val="00211ED0"/>
    <w:rsid w:val="00212E2F"/>
    <w:rsid w:val="002132AE"/>
    <w:rsid w:val="00214DC9"/>
    <w:rsid w:val="002157BB"/>
    <w:rsid w:val="00215C1C"/>
    <w:rsid w:val="00216402"/>
    <w:rsid w:val="002165C8"/>
    <w:rsid w:val="00216799"/>
    <w:rsid w:val="00216C2A"/>
    <w:rsid w:val="002171E2"/>
    <w:rsid w:val="00220CFD"/>
    <w:rsid w:val="00220E64"/>
    <w:rsid w:val="00222139"/>
    <w:rsid w:val="0022281A"/>
    <w:rsid w:val="00223411"/>
    <w:rsid w:val="00225699"/>
    <w:rsid w:val="00227097"/>
    <w:rsid w:val="00227411"/>
    <w:rsid w:val="00230323"/>
    <w:rsid w:val="002307DC"/>
    <w:rsid w:val="002308A1"/>
    <w:rsid w:val="00230EA0"/>
    <w:rsid w:val="00231B80"/>
    <w:rsid w:val="0023279E"/>
    <w:rsid w:val="00232B24"/>
    <w:rsid w:val="00232DDF"/>
    <w:rsid w:val="0023334D"/>
    <w:rsid w:val="0023342C"/>
    <w:rsid w:val="002334AF"/>
    <w:rsid w:val="00234158"/>
    <w:rsid w:val="002341BD"/>
    <w:rsid w:val="002343B1"/>
    <w:rsid w:val="00234C4F"/>
    <w:rsid w:val="00235565"/>
    <w:rsid w:val="00235C95"/>
    <w:rsid w:val="00236209"/>
    <w:rsid w:val="00236641"/>
    <w:rsid w:val="0023697F"/>
    <w:rsid w:val="002372F4"/>
    <w:rsid w:val="00240756"/>
    <w:rsid w:val="00240EA3"/>
    <w:rsid w:val="00241390"/>
    <w:rsid w:val="00242008"/>
    <w:rsid w:val="0024244A"/>
    <w:rsid w:val="00242CEC"/>
    <w:rsid w:val="00243170"/>
    <w:rsid w:val="0024442D"/>
    <w:rsid w:val="0024519C"/>
    <w:rsid w:val="0024774D"/>
    <w:rsid w:val="00247BF5"/>
    <w:rsid w:val="00247C0F"/>
    <w:rsid w:val="0025182D"/>
    <w:rsid w:val="00251851"/>
    <w:rsid w:val="002518A3"/>
    <w:rsid w:val="00251E51"/>
    <w:rsid w:val="00252049"/>
    <w:rsid w:val="00252789"/>
    <w:rsid w:val="002535BE"/>
    <w:rsid w:val="00253D68"/>
    <w:rsid w:val="00254251"/>
    <w:rsid w:val="00254511"/>
    <w:rsid w:val="002559AB"/>
    <w:rsid w:val="00255E9B"/>
    <w:rsid w:val="00256888"/>
    <w:rsid w:val="0025689E"/>
    <w:rsid w:val="00257683"/>
    <w:rsid w:val="00260368"/>
    <w:rsid w:val="00260E16"/>
    <w:rsid w:val="00262187"/>
    <w:rsid w:val="00263064"/>
    <w:rsid w:val="00263522"/>
    <w:rsid w:val="00263CC6"/>
    <w:rsid w:val="002644FC"/>
    <w:rsid w:val="00265BB9"/>
    <w:rsid w:val="00265D44"/>
    <w:rsid w:val="00265E79"/>
    <w:rsid w:val="002661B5"/>
    <w:rsid w:val="00271420"/>
    <w:rsid w:val="00272E14"/>
    <w:rsid w:val="002740FC"/>
    <w:rsid w:val="0027632E"/>
    <w:rsid w:val="00276481"/>
    <w:rsid w:val="00276866"/>
    <w:rsid w:val="00277B5A"/>
    <w:rsid w:val="00277B75"/>
    <w:rsid w:val="00277C3B"/>
    <w:rsid w:val="00280DF4"/>
    <w:rsid w:val="00281789"/>
    <w:rsid w:val="00282E1C"/>
    <w:rsid w:val="00286735"/>
    <w:rsid w:val="002870B0"/>
    <w:rsid w:val="00287BF2"/>
    <w:rsid w:val="00287C18"/>
    <w:rsid w:val="00287D39"/>
    <w:rsid w:val="00290F40"/>
    <w:rsid w:val="002911DB"/>
    <w:rsid w:val="002916ED"/>
    <w:rsid w:val="0029454C"/>
    <w:rsid w:val="00294BF9"/>
    <w:rsid w:val="00296572"/>
    <w:rsid w:val="002966E0"/>
    <w:rsid w:val="00296A36"/>
    <w:rsid w:val="00297695"/>
    <w:rsid w:val="00297BDC"/>
    <w:rsid w:val="00297BF3"/>
    <w:rsid w:val="002A0563"/>
    <w:rsid w:val="002A1F89"/>
    <w:rsid w:val="002A209A"/>
    <w:rsid w:val="002A3361"/>
    <w:rsid w:val="002A348D"/>
    <w:rsid w:val="002A39B2"/>
    <w:rsid w:val="002A419A"/>
    <w:rsid w:val="002A4E73"/>
    <w:rsid w:val="002A5D5A"/>
    <w:rsid w:val="002A65AF"/>
    <w:rsid w:val="002A6A55"/>
    <w:rsid w:val="002A7401"/>
    <w:rsid w:val="002A74C5"/>
    <w:rsid w:val="002A7655"/>
    <w:rsid w:val="002A797F"/>
    <w:rsid w:val="002A7B1C"/>
    <w:rsid w:val="002A7E4D"/>
    <w:rsid w:val="002B1544"/>
    <w:rsid w:val="002B1916"/>
    <w:rsid w:val="002B2565"/>
    <w:rsid w:val="002B3A3C"/>
    <w:rsid w:val="002B42D5"/>
    <w:rsid w:val="002B6416"/>
    <w:rsid w:val="002B6699"/>
    <w:rsid w:val="002B6960"/>
    <w:rsid w:val="002C0BAD"/>
    <w:rsid w:val="002C1D68"/>
    <w:rsid w:val="002C2D52"/>
    <w:rsid w:val="002C34A9"/>
    <w:rsid w:val="002C48A3"/>
    <w:rsid w:val="002C65FB"/>
    <w:rsid w:val="002C7045"/>
    <w:rsid w:val="002C70BE"/>
    <w:rsid w:val="002C7492"/>
    <w:rsid w:val="002D0CD2"/>
    <w:rsid w:val="002D14AE"/>
    <w:rsid w:val="002D23B9"/>
    <w:rsid w:val="002D315F"/>
    <w:rsid w:val="002D3EDD"/>
    <w:rsid w:val="002D4890"/>
    <w:rsid w:val="002D4A91"/>
    <w:rsid w:val="002D551C"/>
    <w:rsid w:val="002D5729"/>
    <w:rsid w:val="002D7833"/>
    <w:rsid w:val="002E0ABD"/>
    <w:rsid w:val="002E0D7E"/>
    <w:rsid w:val="002E1D8B"/>
    <w:rsid w:val="002E241D"/>
    <w:rsid w:val="002E28CE"/>
    <w:rsid w:val="002E2E0F"/>
    <w:rsid w:val="002E3862"/>
    <w:rsid w:val="002E4BC9"/>
    <w:rsid w:val="002F04D3"/>
    <w:rsid w:val="002F162E"/>
    <w:rsid w:val="002F2AF1"/>
    <w:rsid w:val="002F3909"/>
    <w:rsid w:val="002F51AB"/>
    <w:rsid w:val="002F5B9D"/>
    <w:rsid w:val="002F63C7"/>
    <w:rsid w:val="002F750E"/>
    <w:rsid w:val="00300CCA"/>
    <w:rsid w:val="00300EE5"/>
    <w:rsid w:val="00302F18"/>
    <w:rsid w:val="00304627"/>
    <w:rsid w:val="00304AA0"/>
    <w:rsid w:val="003069D6"/>
    <w:rsid w:val="003100F3"/>
    <w:rsid w:val="003104B7"/>
    <w:rsid w:val="003105C2"/>
    <w:rsid w:val="003108DD"/>
    <w:rsid w:val="0031196D"/>
    <w:rsid w:val="00311E67"/>
    <w:rsid w:val="00312017"/>
    <w:rsid w:val="0031322A"/>
    <w:rsid w:val="00314DB8"/>
    <w:rsid w:val="0031530C"/>
    <w:rsid w:val="0031666B"/>
    <w:rsid w:val="003168EB"/>
    <w:rsid w:val="00317661"/>
    <w:rsid w:val="0031781A"/>
    <w:rsid w:val="00320DF1"/>
    <w:rsid w:val="0032199B"/>
    <w:rsid w:val="003221CF"/>
    <w:rsid w:val="00322805"/>
    <w:rsid w:val="00323924"/>
    <w:rsid w:val="00325091"/>
    <w:rsid w:val="00326933"/>
    <w:rsid w:val="00326C1E"/>
    <w:rsid w:val="003273DF"/>
    <w:rsid w:val="00327BB5"/>
    <w:rsid w:val="00330639"/>
    <w:rsid w:val="003315ED"/>
    <w:rsid w:val="003324C0"/>
    <w:rsid w:val="00333CCE"/>
    <w:rsid w:val="00335E90"/>
    <w:rsid w:val="003366DF"/>
    <w:rsid w:val="00337D99"/>
    <w:rsid w:val="003407BD"/>
    <w:rsid w:val="003439EA"/>
    <w:rsid w:val="0034405A"/>
    <w:rsid w:val="0034420E"/>
    <w:rsid w:val="00344947"/>
    <w:rsid w:val="00345DD5"/>
    <w:rsid w:val="00345FD1"/>
    <w:rsid w:val="00346402"/>
    <w:rsid w:val="0034657B"/>
    <w:rsid w:val="003465D1"/>
    <w:rsid w:val="00346B53"/>
    <w:rsid w:val="003476B6"/>
    <w:rsid w:val="00347EEE"/>
    <w:rsid w:val="00347FB0"/>
    <w:rsid w:val="00350480"/>
    <w:rsid w:val="003512DD"/>
    <w:rsid w:val="00351946"/>
    <w:rsid w:val="00351A73"/>
    <w:rsid w:val="003526B1"/>
    <w:rsid w:val="00352728"/>
    <w:rsid w:val="0035302F"/>
    <w:rsid w:val="003541F6"/>
    <w:rsid w:val="0035585D"/>
    <w:rsid w:val="00356463"/>
    <w:rsid w:val="003570CC"/>
    <w:rsid w:val="00357A10"/>
    <w:rsid w:val="00357A59"/>
    <w:rsid w:val="0036002E"/>
    <w:rsid w:val="0036040E"/>
    <w:rsid w:val="00360801"/>
    <w:rsid w:val="00363ED5"/>
    <w:rsid w:val="00364530"/>
    <w:rsid w:val="00364E73"/>
    <w:rsid w:val="003655E9"/>
    <w:rsid w:val="00367CF4"/>
    <w:rsid w:val="00370125"/>
    <w:rsid w:val="0037056A"/>
    <w:rsid w:val="00370E45"/>
    <w:rsid w:val="00371366"/>
    <w:rsid w:val="003713DF"/>
    <w:rsid w:val="00371452"/>
    <w:rsid w:val="00372068"/>
    <w:rsid w:val="0037275B"/>
    <w:rsid w:val="00374341"/>
    <w:rsid w:val="003743E8"/>
    <w:rsid w:val="003744FA"/>
    <w:rsid w:val="00374A27"/>
    <w:rsid w:val="00374DA5"/>
    <w:rsid w:val="003751FE"/>
    <w:rsid w:val="00375622"/>
    <w:rsid w:val="0037569F"/>
    <w:rsid w:val="00375768"/>
    <w:rsid w:val="0037641A"/>
    <w:rsid w:val="0037794E"/>
    <w:rsid w:val="00380153"/>
    <w:rsid w:val="00380D34"/>
    <w:rsid w:val="00381838"/>
    <w:rsid w:val="00382058"/>
    <w:rsid w:val="0038212C"/>
    <w:rsid w:val="00382840"/>
    <w:rsid w:val="00382D0A"/>
    <w:rsid w:val="0038586A"/>
    <w:rsid w:val="00390640"/>
    <w:rsid w:val="00391A23"/>
    <w:rsid w:val="00392A87"/>
    <w:rsid w:val="00393296"/>
    <w:rsid w:val="00393686"/>
    <w:rsid w:val="00393C43"/>
    <w:rsid w:val="00394674"/>
    <w:rsid w:val="003948F7"/>
    <w:rsid w:val="0039664C"/>
    <w:rsid w:val="003974C0"/>
    <w:rsid w:val="00397F35"/>
    <w:rsid w:val="003A01EF"/>
    <w:rsid w:val="003A0966"/>
    <w:rsid w:val="003A1A02"/>
    <w:rsid w:val="003A2544"/>
    <w:rsid w:val="003A2D27"/>
    <w:rsid w:val="003A37AC"/>
    <w:rsid w:val="003A37EE"/>
    <w:rsid w:val="003A4E81"/>
    <w:rsid w:val="003A596E"/>
    <w:rsid w:val="003A5D93"/>
    <w:rsid w:val="003A7A3E"/>
    <w:rsid w:val="003A7DE0"/>
    <w:rsid w:val="003A7F4E"/>
    <w:rsid w:val="003B15BB"/>
    <w:rsid w:val="003B1BD1"/>
    <w:rsid w:val="003B2816"/>
    <w:rsid w:val="003B35E2"/>
    <w:rsid w:val="003B37ED"/>
    <w:rsid w:val="003B3FD6"/>
    <w:rsid w:val="003B4029"/>
    <w:rsid w:val="003B409B"/>
    <w:rsid w:val="003B68FF"/>
    <w:rsid w:val="003B7238"/>
    <w:rsid w:val="003B79CC"/>
    <w:rsid w:val="003B7BA4"/>
    <w:rsid w:val="003B7D2F"/>
    <w:rsid w:val="003C07D0"/>
    <w:rsid w:val="003C22C9"/>
    <w:rsid w:val="003C4127"/>
    <w:rsid w:val="003C5B81"/>
    <w:rsid w:val="003C5E3D"/>
    <w:rsid w:val="003C618E"/>
    <w:rsid w:val="003C6B8B"/>
    <w:rsid w:val="003C7949"/>
    <w:rsid w:val="003D0096"/>
    <w:rsid w:val="003D05F1"/>
    <w:rsid w:val="003D0E15"/>
    <w:rsid w:val="003D1A2E"/>
    <w:rsid w:val="003D1C74"/>
    <w:rsid w:val="003D2A93"/>
    <w:rsid w:val="003D36CF"/>
    <w:rsid w:val="003D411F"/>
    <w:rsid w:val="003D480F"/>
    <w:rsid w:val="003D50A2"/>
    <w:rsid w:val="003D51BC"/>
    <w:rsid w:val="003D56A1"/>
    <w:rsid w:val="003D58CD"/>
    <w:rsid w:val="003D67BD"/>
    <w:rsid w:val="003D68EE"/>
    <w:rsid w:val="003E1EE9"/>
    <w:rsid w:val="003E1F8B"/>
    <w:rsid w:val="003E228D"/>
    <w:rsid w:val="003E3748"/>
    <w:rsid w:val="003E43EE"/>
    <w:rsid w:val="003E458C"/>
    <w:rsid w:val="003E4921"/>
    <w:rsid w:val="003E4966"/>
    <w:rsid w:val="003E5A9E"/>
    <w:rsid w:val="003E6CDA"/>
    <w:rsid w:val="003E77FD"/>
    <w:rsid w:val="003F07C5"/>
    <w:rsid w:val="003F1293"/>
    <w:rsid w:val="003F2289"/>
    <w:rsid w:val="003F2962"/>
    <w:rsid w:val="003F3984"/>
    <w:rsid w:val="003F4ADE"/>
    <w:rsid w:val="003F5E20"/>
    <w:rsid w:val="003F6534"/>
    <w:rsid w:val="003F6FD4"/>
    <w:rsid w:val="003F7F1A"/>
    <w:rsid w:val="00401746"/>
    <w:rsid w:val="00401B5E"/>
    <w:rsid w:val="004030D4"/>
    <w:rsid w:val="0040329E"/>
    <w:rsid w:val="0040392B"/>
    <w:rsid w:val="00403AA0"/>
    <w:rsid w:val="00406D67"/>
    <w:rsid w:val="0040725D"/>
    <w:rsid w:val="0040760F"/>
    <w:rsid w:val="00407C3E"/>
    <w:rsid w:val="0041008F"/>
    <w:rsid w:val="004103BC"/>
    <w:rsid w:val="00411405"/>
    <w:rsid w:val="00413B10"/>
    <w:rsid w:val="004140FF"/>
    <w:rsid w:val="00414501"/>
    <w:rsid w:val="00414740"/>
    <w:rsid w:val="004153E6"/>
    <w:rsid w:val="00415836"/>
    <w:rsid w:val="00416FED"/>
    <w:rsid w:val="00420204"/>
    <w:rsid w:val="00420B7C"/>
    <w:rsid w:val="00420D19"/>
    <w:rsid w:val="00421F26"/>
    <w:rsid w:val="004224E0"/>
    <w:rsid w:val="00423B28"/>
    <w:rsid w:val="00424503"/>
    <w:rsid w:val="0042503D"/>
    <w:rsid w:val="00425563"/>
    <w:rsid w:val="004260F9"/>
    <w:rsid w:val="004267CB"/>
    <w:rsid w:val="00426936"/>
    <w:rsid w:val="0043021C"/>
    <w:rsid w:val="00430928"/>
    <w:rsid w:val="004328F2"/>
    <w:rsid w:val="00432ECD"/>
    <w:rsid w:val="00433176"/>
    <w:rsid w:val="004339D1"/>
    <w:rsid w:val="004344A4"/>
    <w:rsid w:val="004347FF"/>
    <w:rsid w:val="004352A4"/>
    <w:rsid w:val="004373A7"/>
    <w:rsid w:val="0044049C"/>
    <w:rsid w:val="00440A2C"/>
    <w:rsid w:val="0044122C"/>
    <w:rsid w:val="00442895"/>
    <w:rsid w:val="00443DDF"/>
    <w:rsid w:val="00443EE1"/>
    <w:rsid w:val="0044524D"/>
    <w:rsid w:val="00445543"/>
    <w:rsid w:val="00445889"/>
    <w:rsid w:val="00445B96"/>
    <w:rsid w:val="00445E6D"/>
    <w:rsid w:val="00447F65"/>
    <w:rsid w:val="00450121"/>
    <w:rsid w:val="0045026E"/>
    <w:rsid w:val="00451237"/>
    <w:rsid w:val="004515EB"/>
    <w:rsid w:val="00451908"/>
    <w:rsid w:val="00451943"/>
    <w:rsid w:val="00451B6A"/>
    <w:rsid w:val="004520DB"/>
    <w:rsid w:val="00452169"/>
    <w:rsid w:val="004522C6"/>
    <w:rsid w:val="0045240B"/>
    <w:rsid w:val="004524BB"/>
    <w:rsid w:val="00455BD5"/>
    <w:rsid w:val="00455F4B"/>
    <w:rsid w:val="00460152"/>
    <w:rsid w:val="00461059"/>
    <w:rsid w:val="00462268"/>
    <w:rsid w:val="00462974"/>
    <w:rsid w:val="00462A8A"/>
    <w:rsid w:val="00463365"/>
    <w:rsid w:val="004651D4"/>
    <w:rsid w:val="004654CC"/>
    <w:rsid w:val="00465E97"/>
    <w:rsid w:val="00466690"/>
    <w:rsid w:val="00467E31"/>
    <w:rsid w:val="004709A7"/>
    <w:rsid w:val="00470C53"/>
    <w:rsid w:val="004717A2"/>
    <w:rsid w:val="004717F3"/>
    <w:rsid w:val="004728E0"/>
    <w:rsid w:val="00472D6E"/>
    <w:rsid w:val="00473112"/>
    <w:rsid w:val="004738AB"/>
    <w:rsid w:val="00476833"/>
    <w:rsid w:val="00476A66"/>
    <w:rsid w:val="0048069F"/>
    <w:rsid w:val="00480A59"/>
    <w:rsid w:val="004816FE"/>
    <w:rsid w:val="00481D4D"/>
    <w:rsid w:val="00482031"/>
    <w:rsid w:val="0048232C"/>
    <w:rsid w:val="00482CEB"/>
    <w:rsid w:val="00483F64"/>
    <w:rsid w:val="004853DA"/>
    <w:rsid w:val="00490771"/>
    <w:rsid w:val="00490C17"/>
    <w:rsid w:val="00490EB2"/>
    <w:rsid w:val="0049138F"/>
    <w:rsid w:val="00491705"/>
    <w:rsid w:val="00491C7D"/>
    <w:rsid w:val="0049320A"/>
    <w:rsid w:val="0049331A"/>
    <w:rsid w:val="0049368C"/>
    <w:rsid w:val="00495094"/>
    <w:rsid w:val="00497AD7"/>
    <w:rsid w:val="00497D0C"/>
    <w:rsid w:val="004A000A"/>
    <w:rsid w:val="004A02A9"/>
    <w:rsid w:val="004A12C1"/>
    <w:rsid w:val="004A1C5E"/>
    <w:rsid w:val="004A26F0"/>
    <w:rsid w:val="004A26FB"/>
    <w:rsid w:val="004A2A22"/>
    <w:rsid w:val="004A346E"/>
    <w:rsid w:val="004A3EEB"/>
    <w:rsid w:val="004A44CA"/>
    <w:rsid w:val="004A5A85"/>
    <w:rsid w:val="004A6D24"/>
    <w:rsid w:val="004A723F"/>
    <w:rsid w:val="004A740B"/>
    <w:rsid w:val="004A7D8B"/>
    <w:rsid w:val="004B00EF"/>
    <w:rsid w:val="004B0CB0"/>
    <w:rsid w:val="004B10F8"/>
    <w:rsid w:val="004B17D5"/>
    <w:rsid w:val="004B1C50"/>
    <w:rsid w:val="004B286E"/>
    <w:rsid w:val="004B3918"/>
    <w:rsid w:val="004B4284"/>
    <w:rsid w:val="004B4A7C"/>
    <w:rsid w:val="004B55CC"/>
    <w:rsid w:val="004B5674"/>
    <w:rsid w:val="004B56FD"/>
    <w:rsid w:val="004B598D"/>
    <w:rsid w:val="004B5D5C"/>
    <w:rsid w:val="004B61C0"/>
    <w:rsid w:val="004C11CB"/>
    <w:rsid w:val="004C12F1"/>
    <w:rsid w:val="004C18BC"/>
    <w:rsid w:val="004C1ABA"/>
    <w:rsid w:val="004C2EA6"/>
    <w:rsid w:val="004C2FEA"/>
    <w:rsid w:val="004C4841"/>
    <w:rsid w:val="004C529E"/>
    <w:rsid w:val="004C5DE4"/>
    <w:rsid w:val="004C693F"/>
    <w:rsid w:val="004C6B45"/>
    <w:rsid w:val="004C7C3A"/>
    <w:rsid w:val="004D0BB2"/>
    <w:rsid w:val="004D191E"/>
    <w:rsid w:val="004D206D"/>
    <w:rsid w:val="004D208E"/>
    <w:rsid w:val="004D222D"/>
    <w:rsid w:val="004D2E2F"/>
    <w:rsid w:val="004D377E"/>
    <w:rsid w:val="004D3871"/>
    <w:rsid w:val="004D4C8F"/>
    <w:rsid w:val="004D4D08"/>
    <w:rsid w:val="004D4ECC"/>
    <w:rsid w:val="004D55E1"/>
    <w:rsid w:val="004D5FFC"/>
    <w:rsid w:val="004D75E6"/>
    <w:rsid w:val="004D783E"/>
    <w:rsid w:val="004E03FB"/>
    <w:rsid w:val="004E167F"/>
    <w:rsid w:val="004E1DA6"/>
    <w:rsid w:val="004E204F"/>
    <w:rsid w:val="004E3401"/>
    <w:rsid w:val="004E3796"/>
    <w:rsid w:val="004E4346"/>
    <w:rsid w:val="004E50F4"/>
    <w:rsid w:val="004E54D8"/>
    <w:rsid w:val="004E59FA"/>
    <w:rsid w:val="004E5C33"/>
    <w:rsid w:val="004E6E73"/>
    <w:rsid w:val="004E72A5"/>
    <w:rsid w:val="004F00C5"/>
    <w:rsid w:val="004F0BF3"/>
    <w:rsid w:val="004F2C43"/>
    <w:rsid w:val="004F3482"/>
    <w:rsid w:val="004F4B61"/>
    <w:rsid w:val="004F4CC1"/>
    <w:rsid w:val="004F55E5"/>
    <w:rsid w:val="004F578A"/>
    <w:rsid w:val="004F7755"/>
    <w:rsid w:val="004F7CA3"/>
    <w:rsid w:val="005003AB"/>
    <w:rsid w:val="00500747"/>
    <w:rsid w:val="0050082C"/>
    <w:rsid w:val="00501B71"/>
    <w:rsid w:val="005023D0"/>
    <w:rsid w:val="005028FF"/>
    <w:rsid w:val="005029C5"/>
    <w:rsid w:val="00502EE7"/>
    <w:rsid w:val="00503779"/>
    <w:rsid w:val="00503D6F"/>
    <w:rsid w:val="00504C6F"/>
    <w:rsid w:val="00505045"/>
    <w:rsid w:val="0050507B"/>
    <w:rsid w:val="005055A3"/>
    <w:rsid w:val="0050571A"/>
    <w:rsid w:val="00505B25"/>
    <w:rsid w:val="00506E41"/>
    <w:rsid w:val="0051034F"/>
    <w:rsid w:val="0051088C"/>
    <w:rsid w:val="00510CB0"/>
    <w:rsid w:val="00510CEE"/>
    <w:rsid w:val="005113BC"/>
    <w:rsid w:val="00511817"/>
    <w:rsid w:val="00511BEE"/>
    <w:rsid w:val="005136D2"/>
    <w:rsid w:val="00513BE5"/>
    <w:rsid w:val="00513CF9"/>
    <w:rsid w:val="00513F59"/>
    <w:rsid w:val="00513F7D"/>
    <w:rsid w:val="0051417F"/>
    <w:rsid w:val="00514FF5"/>
    <w:rsid w:val="0051547E"/>
    <w:rsid w:val="00515A5B"/>
    <w:rsid w:val="0051622E"/>
    <w:rsid w:val="005170B0"/>
    <w:rsid w:val="0051778A"/>
    <w:rsid w:val="0051791A"/>
    <w:rsid w:val="00517CB9"/>
    <w:rsid w:val="00517F6B"/>
    <w:rsid w:val="00517F98"/>
    <w:rsid w:val="00520141"/>
    <w:rsid w:val="005208C1"/>
    <w:rsid w:val="00520BD2"/>
    <w:rsid w:val="00521205"/>
    <w:rsid w:val="0052182B"/>
    <w:rsid w:val="00521D41"/>
    <w:rsid w:val="005224A3"/>
    <w:rsid w:val="00522914"/>
    <w:rsid w:val="00522E8A"/>
    <w:rsid w:val="005235CB"/>
    <w:rsid w:val="00523A70"/>
    <w:rsid w:val="00523DBB"/>
    <w:rsid w:val="00524656"/>
    <w:rsid w:val="00525CAB"/>
    <w:rsid w:val="005267B7"/>
    <w:rsid w:val="00526EB4"/>
    <w:rsid w:val="00527D95"/>
    <w:rsid w:val="00530458"/>
    <w:rsid w:val="005314FF"/>
    <w:rsid w:val="00531A1A"/>
    <w:rsid w:val="00532213"/>
    <w:rsid w:val="00532331"/>
    <w:rsid w:val="00532509"/>
    <w:rsid w:val="005326D5"/>
    <w:rsid w:val="00533F93"/>
    <w:rsid w:val="005341D0"/>
    <w:rsid w:val="00534AB5"/>
    <w:rsid w:val="0053642E"/>
    <w:rsid w:val="00536DEF"/>
    <w:rsid w:val="00536F1C"/>
    <w:rsid w:val="005374DB"/>
    <w:rsid w:val="00537787"/>
    <w:rsid w:val="00537EAF"/>
    <w:rsid w:val="00540220"/>
    <w:rsid w:val="005403FC"/>
    <w:rsid w:val="00540510"/>
    <w:rsid w:val="00540F71"/>
    <w:rsid w:val="005415F7"/>
    <w:rsid w:val="00542098"/>
    <w:rsid w:val="0054306E"/>
    <w:rsid w:val="005439E6"/>
    <w:rsid w:val="00543F94"/>
    <w:rsid w:val="00544A45"/>
    <w:rsid w:val="005453FC"/>
    <w:rsid w:val="005468B2"/>
    <w:rsid w:val="00550477"/>
    <w:rsid w:val="005522DE"/>
    <w:rsid w:val="00555D80"/>
    <w:rsid w:val="00556364"/>
    <w:rsid w:val="005572F5"/>
    <w:rsid w:val="00557F0F"/>
    <w:rsid w:val="00557F9A"/>
    <w:rsid w:val="0056019D"/>
    <w:rsid w:val="00562CB5"/>
    <w:rsid w:val="00563093"/>
    <w:rsid w:val="005633EB"/>
    <w:rsid w:val="00565C40"/>
    <w:rsid w:val="00565F8B"/>
    <w:rsid w:val="00566576"/>
    <w:rsid w:val="00566B86"/>
    <w:rsid w:val="00567E53"/>
    <w:rsid w:val="005714FA"/>
    <w:rsid w:val="00572D59"/>
    <w:rsid w:val="00573F25"/>
    <w:rsid w:val="005761BC"/>
    <w:rsid w:val="005765FD"/>
    <w:rsid w:val="00576778"/>
    <w:rsid w:val="0057701E"/>
    <w:rsid w:val="00580AC5"/>
    <w:rsid w:val="00581FA1"/>
    <w:rsid w:val="00582BA6"/>
    <w:rsid w:val="00583FAE"/>
    <w:rsid w:val="00584473"/>
    <w:rsid w:val="0058544F"/>
    <w:rsid w:val="005854F6"/>
    <w:rsid w:val="00590564"/>
    <w:rsid w:val="005909C3"/>
    <w:rsid w:val="00590F3D"/>
    <w:rsid w:val="00591587"/>
    <w:rsid w:val="00591946"/>
    <w:rsid w:val="00591B8D"/>
    <w:rsid w:val="005926BA"/>
    <w:rsid w:val="0059342F"/>
    <w:rsid w:val="005945D9"/>
    <w:rsid w:val="005946E7"/>
    <w:rsid w:val="00596959"/>
    <w:rsid w:val="00596F43"/>
    <w:rsid w:val="00597B59"/>
    <w:rsid w:val="00597FD0"/>
    <w:rsid w:val="005A0164"/>
    <w:rsid w:val="005A070F"/>
    <w:rsid w:val="005A09ED"/>
    <w:rsid w:val="005A0F74"/>
    <w:rsid w:val="005A102E"/>
    <w:rsid w:val="005A1E8B"/>
    <w:rsid w:val="005A2521"/>
    <w:rsid w:val="005A42E3"/>
    <w:rsid w:val="005A4560"/>
    <w:rsid w:val="005A46C1"/>
    <w:rsid w:val="005A5606"/>
    <w:rsid w:val="005A5759"/>
    <w:rsid w:val="005A6246"/>
    <w:rsid w:val="005A62ED"/>
    <w:rsid w:val="005A7001"/>
    <w:rsid w:val="005A731F"/>
    <w:rsid w:val="005A73E6"/>
    <w:rsid w:val="005A7E00"/>
    <w:rsid w:val="005B0D26"/>
    <w:rsid w:val="005B57B6"/>
    <w:rsid w:val="005B5969"/>
    <w:rsid w:val="005B673F"/>
    <w:rsid w:val="005B6A52"/>
    <w:rsid w:val="005B7277"/>
    <w:rsid w:val="005C02F5"/>
    <w:rsid w:val="005C071A"/>
    <w:rsid w:val="005C165E"/>
    <w:rsid w:val="005C2943"/>
    <w:rsid w:val="005C3B90"/>
    <w:rsid w:val="005C3CE5"/>
    <w:rsid w:val="005C7FFA"/>
    <w:rsid w:val="005D0D88"/>
    <w:rsid w:val="005D1997"/>
    <w:rsid w:val="005D1CED"/>
    <w:rsid w:val="005D2DEF"/>
    <w:rsid w:val="005D5A42"/>
    <w:rsid w:val="005D5B68"/>
    <w:rsid w:val="005D5DAA"/>
    <w:rsid w:val="005D62BE"/>
    <w:rsid w:val="005D6329"/>
    <w:rsid w:val="005D6F90"/>
    <w:rsid w:val="005D771F"/>
    <w:rsid w:val="005E31A4"/>
    <w:rsid w:val="005E3329"/>
    <w:rsid w:val="005E3D92"/>
    <w:rsid w:val="005E41DB"/>
    <w:rsid w:val="005E478C"/>
    <w:rsid w:val="005E54B7"/>
    <w:rsid w:val="005E5C43"/>
    <w:rsid w:val="005F0149"/>
    <w:rsid w:val="005F05D8"/>
    <w:rsid w:val="005F093E"/>
    <w:rsid w:val="005F110C"/>
    <w:rsid w:val="005F1C31"/>
    <w:rsid w:val="005F1EAD"/>
    <w:rsid w:val="005F2BEF"/>
    <w:rsid w:val="005F3526"/>
    <w:rsid w:val="005F36F3"/>
    <w:rsid w:val="005F3EAB"/>
    <w:rsid w:val="005F4B39"/>
    <w:rsid w:val="005F5809"/>
    <w:rsid w:val="005F63D3"/>
    <w:rsid w:val="005F6792"/>
    <w:rsid w:val="005F7870"/>
    <w:rsid w:val="005F7BCB"/>
    <w:rsid w:val="005F7F3F"/>
    <w:rsid w:val="006014AC"/>
    <w:rsid w:val="00604A93"/>
    <w:rsid w:val="00604CD2"/>
    <w:rsid w:val="00604F2C"/>
    <w:rsid w:val="00605A35"/>
    <w:rsid w:val="00605A3E"/>
    <w:rsid w:val="00606D01"/>
    <w:rsid w:val="00607034"/>
    <w:rsid w:val="0061255E"/>
    <w:rsid w:val="00612742"/>
    <w:rsid w:val="00612ACB"/>
    <w:rsid w:val="00615F90"/>
    <w:rsid w:val="00616A57"/>
    <w:rsid w:val="00616D33"/>
    <w:rsid w:val="00620BE6"/>
    <w:rsid w:val="00621102"/>
    <w:rsid w:val="0062128D"/>
    <w:rsid w:val="00621AD8"/>
    <w:rsid w:val="00623D05"/>
    <w:rsid w:val="00624D1B"/>
    <w:rsid w:val="0062599F"/>
    <w:rsid w:val="00625E2A"/>
    <w:rsid w:val="006263F0"/>
    <w:rsid w:val="00627288"/>
    <w:rsid w:val="00627EEF"/>
    <w:rsid w:val="00627F2E"/>
    <w:rsid w:val="00630146"/>
    <w:rsid w:val="006301A4"/>
    <w:rsid w:val="00630228"/>
    <w:rsid w:val="00630593"/>
    <w:rsid w:val="0063059A"/>
    <w:rsid w:val="00632387"/>
    <w:rsid w:val="0063280B"/>
    <w:rsid w:val="00632CF7"/>
    <w:rsid w:val="00633174"/>
    <w:rsid w:val="0063464D"/>
    <w:rsid w:val="006357B7"/>
    <w:rsid w:val="006357FE"/>
    <w:rsid w:val="006364C2"/>
    <w:rsid w:val="006409A1"/>
    <w:rsid w:val="00642421"/>
    <w:rsid w:val="0064263D"/>
    <w:rsid w:val="0064431B"/>
    <w:rsid w:val="00644E71"/>
    <w:rsid w:val="00645AA5"/>
    <w:rsid w:val="00646013"/>
    <w:rsid w:val="0064628B"/>
    <w:rsid w:val="0064652D"/>
    <w:rsid w:val="00647D96"/>
    <w:rsid w:val="00650697"/>
    <w:rsid w:val="00651CBA"/>
    <w:rsid w:val="00651E36"/>
    <w:rsid w:val="006522FC"/>
    <w:rsid w:val="00654E70"/>
    <w:rsid w:val="00655009"/>
    <w:rsid w:val="0065653F"/>
    <w:rsid w:val="006579B9"/>
    <w:rsid w:val="00657BBC"/>
    <w:rsid w:val="00661961"/>
    <w:rsid w:val="00662305"/>
    <w:rsid w:val="00662A13"/>
    <w:rsid w:val="00662FC3"/>
    <w:rsid w:val="00664486"/>
    <w:rsid w:val="00664839"/>
    <w:rsid w:val="006648BE"/>
    <w:rsid w:val="00664BB1"/>
    <w:rsid w:val="006656EE"/>
    <w:rsid w:val="00666262"/>
    <w:rsid w:val="00666AD7"/>
    <w:rsid w:val="00666B2B"/>
    <w:rsid w:val="00670513"/>
    <w:rsid w:val="006714CC"/>
    <w:rsid w:val="00671610"/>
    <w:rsid w:val="00672891"/>
    <w:rsid w:val="006745F7"/>
    <w:rsid w:val="00674ED2"/>
    <w:rsid w:val="00675174"/>
    <w:rsid w:val="00676E7C"/>
    <w:rsid w:val="0067730E"/>
    <w:rsid w:val="00677A69"/>
    <w:rsid w:val="00677BC0"/>
    <w:rsid w:val="00682E8B"/>
    <w:rsid w:val="0068358E"/>
    <w:rsid w:val="006844D3"/>
    <w:rsid w:val="006858C2"/>
    <w:rsid w:val="006858E5"/>
    <w:rsid w:val="00685E17"/>
    <w:rsid w:val="00686776"/>
    <w:rsid w:val="006874A2"/>
    <w:rsid w:val="006877A9"/>
    <w:rsid w:val="0069037D"/>
    <w:rsid w:val="00690467"/>
    <w:rsid w:val="0069070C"/>
    <w:rsid w:val="00690CEE"/>
    <w:rsid w:val="00692E4C"/>
    <w:rsid w:val="00693159"/>
    <w:rsid w:val="00694858"/>
    <w:rsid w:val="00695588"/>
    <w:rsid w:val="00696A23"/>
    <w:rsid w:val="00696CFF"/>
    <w:rsid w:val="006A1225"/>
    <w:rsid w:val="006A2A3E"/>
    <w:rsid w:val="006A35DA"/>
    <w:rsid w:val="006A5102"/>
    <w:rsid w:val="006A54E8"/>
    <w:rsid w:val="006A59ED"/>
    <w:rsid w:val="006A5F81"/>
    <w:rsid w:val="006A6582"/>
    <w:rsid w:val="006A6A6F"/>
    <w:rsid w:val="006A758C"/>
    <w:rsid w:val="006B1EF4"/>
    <w:rsid w:val="006B29EA"/>
    <w:rsid w:val="006B52E1"/>
    <w:rsid w:val="006B6DA7"/>
    <w:rsid w:val="006B722B"/>
    <w:rsid w:val="006B78EF"/>
    <w:rsid w:val="006C0534"/>
    <w:rsid w:val="006C108A"/>
    <w:rsid w:val="006C1B37"/>
    <w:rsid w:val="006C3624"/>
    <w:rsid w:val="006C3FE6"/>
    <w:rsid w:val="006C4440"/>
    <w:rsid w:val="006C4F83"/>
    <w:rsid w:val="006C57CB"/>
    <w:rsid w:val="006C5853"/>
    <w:rsid w:val="006C59D9"/>
    <w:rsid w:val="006C6BD0"/>
    <w:rsid w:val="006C6C23"/>
    <w:rsid w:val="006C7363"/>
    <w:rsid w:val="006D0F95"/>
    <w:rsid w:val="006D166C"/>
    <w:rsid w:val="006D23D1"/>
    <w:rsid w:val="006D2F81"/>
    <w:rsid w:val="006D37E3"/>
    <w:rsid w:val="006D3AAF"/>
    <w:rsid w:val="006D3F77"/>
    <w:rsid w:val="006D67F6"/>
    <w:rsid w:val="006D6C3F"/>
    <w:rsid w:val="006D771E"/>
    <w:rsid w:val="006E1DB0"/>
    <w:rsid w:val="006E3079"/>
    <w:rsid w:val="006E33A8"/>
    <w:rsid w:val="006E4E2C"/>
    <w:rsid w:val="006E633D"/>
    <w:rsid w:val="006E7721"/>
    <w:rsid w:val="006F0231"/>
    <w:rsid w:val="006F049C"/>
    <w:rsid w:val="006F0997"/>
    <w:rsid w:val="006F0D0A"/>
    <w:rsid w:val="006F19E5"/>
    <w:rsid w:val="006F1C39"/>
    <w:rsid w:val="006F2E4E"/>
    <w:rsid w:val="006F3191"/>
    <w:rsid w:val="006F3730"/>
    <w:rsid w:val="006F3C57"/>
    <w:rsid w:val="006F42A9"/>
    <w:rsid w:val="006F59CB"/>
    <w:rsid w:val="006F5B67"/>
    <w:rsid w:val="006F69E9"/>
    <w:rsid w:val="006F7371"/>
    <w:rsid w:val="006F7DF1"/>
    <w:rsid w:val="007004B3"/>
    <w:rsid w:val="0070128F"/>
    <w:rsid w:val="00703D17"/>
    <w:rsid w:val="00703E1C"/>
    <w:rsid w:val="00704534"/>
    <w:rsid w:val="00704A22"/>
    <w:rsid w:val="00704E88"/>
    <w:rsid w:val="007057BF"/>
    <w:rsid w:val="00706953"/>
    <w:rsid w:val="00706AEE"/>
    <w:rsid w:val="00707066"/>
    <w:rsid w:val="0070706C"/>
    <w:rsid w:val="007107E0"/>
    <w:rsid w:val="00710A03"/>
    <w:rsid w:val="00710DF8"/>
    <w:rsid w:val="00711BA4"/>
    <w:rsid w:val="00712631"/>
    <w:rsid w:val="00712BA8"/>
    <w:rsid w:val="007130EF"/>
    <w:rsid w:val="00713EFB"/>
    <w:rsid w:val="007140E5"/>
    <w:rsid w:val="007146B0"/>
    <w:rsid w:val="0071639D"/>
    <w:rsid w:val="007214CF"/>
    <w:rsid w:val="00721708"/>
    <w:rsid w:val="00722F5C"/>
    <w:rsid w:val="00722F99"/>
    <w:rsid w:val="00723693"/>
    <w:rsid w:val="007237DF"/>
    <w:rsid w:val="007259A5"/>
    <w:rsid w:val="00726320"/>
    <w:rsid w:val="00726C7E"/>
    <w:rsid w:val="00727019"/>
    <w:rsid w:val="0072798E"/>
    <w:rsid w:val="00727BA6"/>
    <w:rsid w:val="0073057B"/>
    <w:rsid w:val="00731A4A"/>
    <w:rsid w:val="00733A9D"/>
    <w:rsid w:val="007340EA"/>
    <w:rsid w:val="00734640"/>
    <w:rsid w:val="00736CA1"/>
    <w:rsid w:val="00737243"/>
    <w:rsid w:val="007401A2"/>
    <w:rsid w:val="0074095C"/>
    <w:rsid w:val="00742720"/>
    <w:rsid w:val="007428C9"/>
    <w:rsid w:val="00744C3F"/>
    <w:rsid w:val="00744F37"/>
    <w:rsid w:val="007472A6"/>
    <w:rsid w:val="00750448"/>
    <w:rsid w:val="00751B98"/>
    <w:rsid w:val="00752EBE"/>
    <w:rsid w:val="007532EC"/>
    <w:rsid w:val="00753BFD"/>
    <w:rsid w:val="00756190"/>
    <w:rsid w:val="00756198"/>
    <w:rsid w:val="00756459"/>
    <w:rsid w:val="007566BB"/>
    <w:rsid w:val="00756F3C"/>
    <w:rsid w:val="00760E4A"/>
    <w:rsid w:val="007618D0"/>
    <w:rsid w:val="00761B67"/>
    <w:rsid w:val="007636F0"/>
    <w:rsid w:val="00764BC0"/>
    <w:rsid w:val="0076581A"/>
    <w:rsid w:val="00766007"/>
    <w:rsid w:val="00766BF2"/>
    <w:rsid w:val="0077045E"/>
    <w:rsid w:val="00770729"/>
    <w:rsid w:val="00770E3D"/>
    <w:rsid w:val="00771151"/>
    <w:rsid w:val="0077191D"/>
    <w:rsid w:val="00771AF5"/>
    <w:rsid w:val="0077361F"/>
    <w:rsid w:val="00773AE5"/>
    <w:rsid w:val="00774646"/>
    <w:rsid w:val="00774669"/>
    <w:rsid w:val="00774B1E"/>
    <w:rsid w:val="007801CA"/>
    <w:rsid w:val="0078167B"/>
    <w:rsid w:val="00782A31"/>
    <w:rsid w:val="00782B24"/>
    <w:rsid w:val="0078595F"/>
    <w:rsid w:val="00785FEC"/>
    <w:rsid w:val="007874F9"/>
    <w:rsid w:val="00787C09"/>
    <w:rsid w:val="00790B2C"/>
    <w:rsid w:val="0079225E"/>
    <w:rsid w:val="00792DEA"/>
    <w:rsid w:val="00793428"/>
    <w:rsid w:val="007942F5"/>
    <w:rsid w:val="007943AC"/>
    <w:rsid w:val="00795D6C"/>
    <w:rsid w:val="00797CCF"/>
    <w:rsid w:val="007A003D"/>
    <w:rsid w:val="007A10F3"/>
    <w:rsid w:val="007A16C6"/>
    <w:rsid w:val="007A1D7C"/>
    <w:rsid w:val="007A22F8"/>
    <w:rsid w:val="007A2D4F"/>
    <w:rsid w:val="007A34CC"/>
    <w:rsid w:val="007A3601"/>
    <w:rsid w:val="007A4ADE"/>
    <w:rsid w:val="007A4C1F"/>
    <w:rsid w:val="007A4F42"/>
    <w:rsid w:val="007A598E"/>
    <w:rsid w:val="007A6FEC"/>
    <w:rsid w:val="007A7821"/>
    <w:rsid w:val="007A7D18"/>
    <w:rsid w:val="007B0342"/>
    <w:rsid w:val="007B056A"/>
    <w:rsid w:val="007B0E72"/>
    <w:rsid w:val="007B1D5E"/>
    <w:rsid w:val="007B219D"/>
    <w:rsid w:val="007B2CA8"/>
    <w:rsid w:val="007B2DB0"/>
    <w:rsid w:val="007B37BB"/>
    <w:rsid w:val="007B3D89"/>
    <w:rsid w:val="007B3E41"/>
    <w:rsid w:val="007B4846"/>
    <w:rsid w:val="007B5DFE"/>
    <w:rsid w:val="007B60CA"/>
    <w:rsid w:val="007B6793"/>
    <w:rsid w:val="007B734E"/>
    <w:rsid w:val="007B77EE"/>
    <w:rsid w:val="007C0565"/>
    <w:rsid w:val="007C059F"/>
    <w:rsid w:val="007C13A8"/>
    <w:rsid w:val="007C3D70"/>
    <w:rsid w:val="007C3DE8"/>
    <w:rsid w:val="007C41FD"/>
    <w:rsid w:val="007C449B"/>
    <w:rsid w:val="007C48AA"/>
    <w:rsid w:val="007C5B7E"/>
    <w:rsid w:val="007C5D01"/>
    <w:rsid w:val="007C6460"/>
    <w:rsid w:val="007C71E6"/>
    <w:rsid w:val="007D0D49"/>
    <w:rsid w:val="007D228C"/>
    <w:rsid w:val="007D22F6"/>
    <w:rsid w:val="007D299E"/>
    <w:rsid w:val="007D2B2A"/>
    <w:rsid w:val="007D5CB9"/>
    <w:rsid w:val="007D755E"/>
    <w:rsid w:val="007D7568"/>
    <w:rsid w:val="007D7686"/>
    <w:rsid w:val="007D7A3C"/>
    <w:rsid w:val="007D7A6B"/>
    <w:rsid w:val="007E09C4"/>
    <w:rsid w:val="007E240B"/>
    <w:rsid w:val="007E27D5"/>
    <w:rsid w:val="007E2869"/>
    <w:rsid w:val="007E2A0C"/>
    <w:rsid w:val="007E31FD"/>
    <w:rsid w:val="007E39C1"/>
    <w:rsid w:val="007E4A27"/>
    <w:rsid w:val="007E4D14"/>
    <w:rsid w:val="007E5341"/>
    <w:rsid w:val="007E5488"/>
    <w:rsid w:val="007E5A52"/>
    <w:rsid w:val="007E5DB0"/>
    <w:rsid w:val="007F129B"/>
    <w:rsid w:val="007F13E9"/>
    <w:rsid w:val="007F2761"/>
    <w:rsid w:val="007F27B4"/>
    <w:rsid w:val="007F2D39"/>
    <w:rsid w:val="007F325F"/>
    <w:rsid w:val="007F3D11"/>
    <w:rsid w:val="007F3EB4"/>
    <w:rsid w:val="007F43CC"/>
    <w:rsid w:val="007F4547"/>
    <w:rsid w:val="007F4EEC"/>
    <w:rsid w:val="007F501F"/>
    <w:rsid w:val="007F7B33"/>
    <w:rsid w:val="008006B2"/>
    <w:rsid w:val="008012F7"/>
    <w:rsid w:val="008025F5"/>
    <w:rsid w:val="00804448"/>
    <w:rsid w:val="00804AFD"/>
    <w:rsid w:val="00804B9B"/>
    <w:rsid w:val="008072A3"/>
    <w:rsid w:val="00807C5B"/>
    <w:rsid w:val="008102BA"/>
    <w:rsid w:val="008103C0"/>
    <w:rsid w:val="00810B02"/>
    <w:rsid w:val="00810BD1"/>
    <w:rsid w:val="008119D7"/>
    <w:rsid w:val="008121E8"/>
    <w:rsid w:val="0081241E"/>
    <w:rsid w:val="00813F44"/>
    <w:rsid w:val="00814095"/>
    <w:rsid w:val="008146A3"/>
    <w:rsid w:val="00814B82"/>
    <w:rsid w:val="008151FB"/>
    <w:rsid w:val="008165A9"/>
    <w:rsid w:val="00817298"/>
    <w:rsid w:val="0082140F"/>
    <w:rsid w:val="008214C6"/>
    <w:rsid w:val="00822715"/>
    <w:rsid w:val="00822BE8"/>
    <w:rsid w:val="0082350D"/>
    <w:rsid w:val="008237EC"/>
    <w:rsid w:val="0082460C"/>
    <w:rsid w:val="00824C8D"/>
    <w:rsid w:val="00827D66"/>
    <w:rsid w:val="00830DE1"/>
    <w:rsid w:val="00831C6A"/>
    <w:rsid w:val="008325E8"/>
    <w:rsid w:val="008326BE"/>
    <w:rsid w:val="00833614"/>
    <w:rsid w:val="0083450E"/>
    <w:rsid w:val="0083533A"/>
    <w:rsid w:val="0083556A"/>
    <w:rsid w:val="00835800"/>
    <w:rsid w:val="00835BD9"/>
    <w:rsid w:val="00837C34"/>
    <w:rsid w:val="00840ACB"/>
    <w:rsid w:val="00843086"/>
    <w:rsid w:val="0084335A"/>
    <w:rsid w:val="008440A5"/>
    <w:rsid w:val="00846429"/>
    <w:rsid w:val="00846BCA"/>
    <w:rsid w:val="00847FC2"/>
    <w:rsid w:val="00850F2C"/>
    <w:rsid w:val="00851B41"/>
    <w:rsid w:val="00851BAE"/>
    <w:rsid w:val="0085335A"/>
    <w:rsid w:val="008533F8"/>
    <w:rsid w:val="00854AE4"/>
    <w:rsid w:val="00855B7E"/>
    <w:rsid w:val="00857CEF"/>
    <w:rsid w:val="00857FD9"/>
    <w:rsid w:val="008613AF"/>
    <w:rsid w:val="00862A1D"/>
    <w:rsid w:val="00864314"/>
    <w:rsid w:val="008645F0"/>
    <w:rsid w:val="00864A8F"/>
    <w:rsid w:val="00866119"/>
    <w:rsid w:val="00866931"/>
    <w:rsid w:val="00866AD2"/>
    <w:rsid w:val="00866D71"/>
    <w:rsid w:val="00867106"/>
    <w:rsid w:val="00867A62"/>
    <w:rsid w:val="00870785"/>
    <w:rsid w:val="0087116D"/>
    <w:rsid w:val="00872193"/>
    <w:rsid w:val="00874225"/>
    <w:rsid w:val="008746F5"/>
    <w:rsid w:val="00874D20"/>
    <w:rsid w:val="00875773"/>
    <w:rsid w:val="00876785"/>
    <w:rsid w:val="008768D2"/>
    <w:rsid w:val="008803BC"/>
    <w:rsid w:val="00881249"/>
    <w:rsid w:val="008816EF"/>
    <w:rsid w:val="008818C9"/>
    <w:rsid w:val="008818F7"/>
    <w:rsid w:val="00881EBE"/>
    <w:rsid w:val="00882EC3"/>
    <w:rsid w:val="00883272"/>
    <w:rsid w:val="008854D2"/>
    <w:rsid w:val="00887969"/>
    <w:rsid w:val="00887C8D"/>
    <w:rsid w:val="00892286"/>
    <w:rsid w:val="00892931"/>
    <w:rsid w:val="00892BCF"/>
    <w:rsid w:val="00892F95"/>
    <w:rsid w:val="008934DD"/>
    <w:rsid w:val="00894065"/>
    <w:rsid w:val="00894114"/>
    <w:rsid w:val="008948E8"/>
    <w:rsid w:val="008956EF"/>
    <w:rsid w:val="0089605D"/>
    <w:rsid w:val="008A0131"/>
    <w:rsid w:val="008A01A1"/>
    <w:rsid w:val="008A0378"/>
    <w:rsid w:val="008A0EBB"/>
    <w:rsid w:val="008A4C15"/>
    <w:rsid w:val="008A5DAF"/>
    <w:rsid w:val="008A5DEE"/>
    <w:rsid w:val="008A5E9E"/>
    <w:rsid w:val="008A7838"/>
    <w:rsid w:val="008A7D9C"/>
    <w:rsid w:val="008B16CE"/>
    <w:rsid w:val="008B227D"/>
    <w:rsid w:val="008B2C69"/>
    <w:rsid w:val="008B32D9"/>
    <w:rsid w:val="008B3396"/>
    <w:rsid w:val="008B37F9"/>
    <w:rsid w:val="008B403C"/>
    <w:rsid w:val="008B4694"/>
    <w:rsid w:val="008B4F60"/>
    <w:rsid w:val="008B65DD"/>
    <w:rsid w:val="008B661B"/>
    <w:rsid w:val="008B66F0"/>
    <w:rsid w:val="008B7AA4"/>
    <w:rsid w:val="008B7CCB"/>
    <w:rsid w:val="008B7DCE"/>
    <w:rsid w:val="008C0BC7"/>
    <w:rsid w:val="008C119D"/>
    <w:rsid w:val="008C1220"/>
    <w:rsid w:val="008C2233"/>
    <w:rsid w:val="008C2386"/>
    <w:rsid w:val="008C36FC"/>
    <w:rsid w:val="008C54B0"/>
    <w:rsid w:val="008C567A"/>
    <w:rsid w:val="008C5A5B"/>
    <w:rsid w:val="008C6318"/>
    <w:rsid w:val="008C64D9"/>
    <w:rsid w:val="008C68A2"/>
    <w:rsid w:val="008C6B71"/>
    <w:rsid w:val="008C77A3"/>
    <w:rsid w:val="008D010F"/>
    <w:rsid w:val="008D01E5"/>
    <w:rsid w:val="008D024F"/>
    <w:rsid w:val="008D0E35"/>
    <w:rsid w:val="008D1F29"/>
    <w:rsid w:val="008D4F2B"/>
    <w:rsid w:val="008D544A"/>
    <w:rsid w:val="008D56CF"/>
    <w:rsid w:val="008D6E10"/>
    <w:rsid w:val="008D7AB9"/>
    <w:rsid w:val="008E0382"/>
    <w:rsid w:val="008E0F26"/>
    <w:rsid w:val="008E3343"/>
    <w:rsid w:val="008E4109"/>
    <w:rsid w:val="008E4402"/>
    <w:rsid w:val="008E5108"/>
    <w:rsid w:val="008E557E"/>
    <w:rsid w:val="008E5673"/>
    <w:rsid w:val="008E60D4"/>
    <w:rsid w:val="008E7CC8"/>
    <w:rsid w:val="008F022A"/>
    <w:rsid w:val="008F0312"/>
    <w:rsid w:val="008F128A"/>
    <w:rsid w:val="008F2B54"/>
    <w:rsid w:val="008F2C5E"/>
    <w:rsid w:val="008F3474"/>
    <w:rsid w:val="008F3D7C"/>
    <w:rsid w:val="008F3FD6"/>
    <w:rsid w:val="008F552A"/>
    <w:rsid w:val="008F5FA5"/>
    <w:rsid w:val="008F68E4"/>
    <w:rsid w:val="008F69A5"/>
    <w:rsid w:val="008F6A04"/>
    <w:rsid w:val="008F7AB6"/>
    <w:rsid w:val="00900151"/>
    <w:rsid w:val="00900536"/>
    <w:rsid w:val="00900D4C"/>
    <w:rsid w:val="0090181B"/>
    <w:rsid w:val="00902B1A"/>
    <w:rsid w:val="009032F9"/>
    <w:rsid w:val="009033E2"/>
    <w:rsid w:val="009033EC"/>
    <w:rsid w:val="009038C1"/>
    <w:rsid w:val="0090403B"/>
    <w:rsid w:val="00904242"/>
    <w:rsid w:val="009043C1"/>
    <w:rsid w:val="0090486B"/>
    <w:rsid w:val="00906AD7"/>
    <w:rsid w:val="009072F2"/>
    <w:rsid w:val="00907722"/>
    <w:rsid w:val="00910CC2"/>
    <w:rsid w:val="009110F1"/>
    <w:rsid w:val="009112CA"/>
    <w:rsid w:val="00911992"/>
    <w:rsid w:val="00911BD1"/>
    <w:rsid w:val="00911F92"/>
    <w:rsid w:val="009121BA"/>
    <w:rsid w:val="00912430"/>
    <w:rsid w:val="0091303A"/>
    <w:rsid w:val="00914313"/>
    <w:rsid w:val="00915FD7"/>
    <w:rsid w:val="0091624F"/>
    <w:rsid w:val="0091704C"/>
    <w:rsid w:val="00920629"/>
    <w:rsid w:val="00920F86"/>
    <w:rsid w:val="00921DB0"/>
    <w:rsid w:val="009221C0"/>
    <w:rsid w:val="00922533"/>
    <w:rsid w:val="00923F23"/>
    <w:rsid w:val="00924EA5"/>
    <w:rsid w:val="00924F62"/>
    <w:rsid w:val="00925E04"/>
    <w:rsid w:val="00930930"/>
    <w:rsid w:val="00930D4B"/>
    <w:rsid w:val="0093107F"/>
    <w:rsid w:val="00931953"/>
    <w:rsid w:val="0093255D"/>
    <w:rsid w:val="00932DFE"/>
    <w:rsid w:val="00933404"/>
    <w:rsid w:val="009338E4"/>
    <w:rsid w:val="00933ED3"/>
    <w:rsid w:val="00935F48"/>
    <w:rsid w:val="009373AA"/>
    <w:rsid w:val="009374B7"/>
    <w:rsid w:val="009375CB"/>
    <w:rsid w:val="00942E8A"/>
    <w:rsid w:val="00943BB4"/>
    <w:rsid w:val="0094432C"/>
    <w:rsid w:val="00947949"/>
    <w:rsid w:val="00950338"/>
    <w:rsid w:val="00950602"/>
    <w:rsid w:val="00951E4E"/>
    <w:rsid w:val="00952DC6"/>
    <w:rsid w:val="009533FC"/>
    <w:rsid w:val="0095379B"/>
    <w:rsid w:val="009541A9"/>
    <w:rsid w:val="0095497E"/>
    <w:rsid w:val="009552D8"/>
    <w:rsid w:val="00957D37"/>
    <w:rsid w:val="0096001A"/>
    <w:rsid w:val="009600C3"/>
    <w:rsid w:val="00960346"/>
    <w:rsid w:val="009604BE"/>
    <w:rsid w:val="00960600"/>
    <w:rsid w:val="00961AD2"/>
    <w:rsid w:val="00962F0C"/>
    <w:rsid w:val="00963DE2"/>
    <w:rsid w:val="00963EAC"/>
    <w:rsid w:val="00965980"/>
    <w:rsid w:val="0096698E"/>
    <w:rsid w:val="00966C47"/>
    <w:rsid w:val="00966EDE"/>
    <w:rsid w:val="00966F2D"/>
    <w:rsid w:val="00967883"/>
    <w:rsid w:val="009678F5"/>
    <w:rsid w:val="00967F24"/>
    <w:rsid w:val="00970363"/>
    <w:rsid w:val="00970AD9"/>
    <w:rsid w:val="00971B28"/>
    <w:rsid w:val="00972AC9"/>
    <w:rsid w:val="0097437A"/>
    <w:rsid w:val="0097476B"/>
    <w:rsid w:val="00974E71"/>
    <w:rsid w:val="00976BA0"/>
    <w:rsid w:val="00976C9C"/>
    <w:rsid w:val="00977038"/>
    <w:rsid w:val="009774C0"/>
    <w:rsid w:val="00977C1F"/>
    <w:rsid w:val="00980D78"/>
    <w:rsid w:val="0098142F"/>
    <w:rsid w:val="00981A40"/>
    <w:rsid w:val="00981B8C"/>
    <w:rsid w:val="0098211C"/>
    <w:rsid w:val="00982690"/>
    <w:rsid w:val="00983D03"/>
    <w:rsid w:val="00986EAF"/>
    <w:rsid w:val="00990DE4"/>
    <w:rsid w:val="00990E5C"/>
    <w:rsid w:val="00992CFC"/>
    <w:rsid w:val="009935A6"/>
    <w:rsid w:val="009936E8"/>
    <w:rsid w:val="00993A97"/>
    <w:rsid w:val="009940AE"/>
    <w:rsid w:val="00994111"/>
    <w:rsid w:val="00994917"/>
    <w:rsid w:val="00994B03"/>
    <w:rsid w:val="00994E91"/>
    <w:rsid w:val="00997239"/>
    <w:rsid w:val="0099744A"/>
    <w:rsid w:val="009A0BAC"/>
    <w:rsid w:val="009A0C7F"/>
    <w:rsid w:val="009A27C9"/>
    <w:rsid w:val="009A31AF"/>
    <w:rsid w:val="009A34FF"/>
    <w:rsid w:val="009A3958"/>
    <w:rsid w:val="009A39DF"/>
    <w:rsid w:val="009A6A13"/>
    <w:rsid w:val="009B04F0"/>
    <w:rsid w:val="009B0CEC"/>
    <w:rsid w:val="009B1A3A"/>
    <w:rsid w:val="009B211F"/>
    <w:rsid w:val="009B2370"/>
    <w:rsid w:val="009B3BA7"/>
    <w:rsid w:val="009B3BB4"/>
    <w:rsid w:val="009B41DD"/>
    <w:rsid w:val="009B43AC"/>
    <w:rsid w:val="009B730C"/>
    <w:rsid w:val="009B7410"/>
    <w:rsid w:val="009B7487"/>
    <w:rsid w:val="009C0BE4"/>
    <w:rsid w:val="009C0CC7"/>
    <w:rsid w:val="009C0F4D"/>
    <w:rsid w:val="009C2B03"/>
    <w:rsid w:val="009C35C0"/>
    <w:rsid w:val="009C3D3A"/>
    <w:rsid w:val="009C427C"/>
    <w:rsid w:val="009C4A28"/>
    <w:rsid w:val="009C4D78"/>
    <w:rsid w:val="009C6D5E"/>
    <w:rsid w:val="009C710B"/>
    <w:rsid w:val="009D0C71"/>
    <w:rsid w:val="009D125A"/>
    <w:rsid w:val="009D12BA"/>
    <w:rsid w:val="009D1872"/>
    <w:rsid w:val="009D3393"/>
    <w:rsid w:val="009D3396"/>
    <w:rsid w:val="009D49F6"/>
    <w:rsid w:val="009D65EA"/>
    <w:rsid w:val="009D7B18"/>
    <w:rsid w:val="009E0154"/>
    <w:rsid w:val="009E1015"/>
    <w:rsid w:val="009E1AB5"/>
    <w:rsid w:val="009E2BCF"/>
    <w:rsid w:val="009E2CAA"/>
    <w:rsid w:val="009E2EA8"/>
    <w:rsid w:val="009E319E"/>
    <w:rsid w:val="009E3F28"/>
    <w:rsid w:val="009E4692"/>
    <w:rsid w:val="009E4943"/>
    <w:rsid w:val="009E4B70"/>
    <w:rsid w:val="009E60E9"/>
    <w:rsid w:val="009E6488"/>
    <w:rsid w:val="009F0F97"/>
    <w:rsid w:val="009F1553"/>
    <w:rsid w:val="009F189C"/>
    <w:rsid w:val="009F1B12"/>
    <w:rsid w:val="009F31BE"/>
    <w:rsid w:val="009F52DE"/>
    <w:rsid w:val="009F6111"/>
    <w:rsid w:val="009F6297"/>
    <w:rsid w:val="009F6D7F"/>
    <w:rsid w:val="009F6F23"/>
    <w:rsid w:val="009F75A1"/>
    <w:rsid w:val="009F7CD5"/>
    <w:rsid w:val="00A000EC"/>
    <w:rsid w:val="00A017FF"/>
    <w:rsid w:val="00A02893"/>
    <w:rsid w:val="00A02DCC"/>
    <w:rsid w:val="00A034E9"/>
    <w:rsid w:val="00A03CD3"/>
    <w:rsid w:val="00A04659"/>
    <w:rsid w:val="00A04E41"/>
    <w:rsid w:val="00A05097"/>
    <w:rsid w:val="00A064D2"/>
    <w:rsid w:val="00A073D2"/>
    <w:rsid w:val="00A07F48"/>
    <w:rsid w:val="00A1114F"/>
    <w:rsid w:val="00A11566"/>
    <w:rsid w:val="00A11BAE"/>
    <w:rsid w:val="00A13CDA"/>
    <w:rsid w:val="00A1716A"/>
    <w:rsid w:val="00A20009"/>
    <w:rsid w:val="00A20176"/>
    <w:rsid w:val="00A20F0A"/>
    <w:rsid w:val="00A2172B"/>
    <w:rsid w:val="00A21D3C"/>
    <w:rsid w:val="00A222FC"/>
    <w:rsid w:val="00A2296F"/>
    <w:rsid w:val="00A22B19"/>
    <w:rsid w:val="00A23661"/>
    <w:rsid w:val="00A238BB"/>
    <w:rsid w:val="00A23EBF"/>
    <w:rsid w:val="00A243B1"/>
    <w:rsid w:val="00A24C34"/>
    <w:rsid w:val="00A25849"/>
    <w:rsid w:val="00A26BFE"/>
    <w:rsid w:val="00A26E0C"/>
    <w:rsid w:val="00A2732D"/>
    <w:rsid w:val="00A27BD2"/>
    <w:rsid w:val="00A3003B"/>
    <w:rsid w:val="00A30102"/>
    <w:rsid w:val="00A30CB2"/>
    <w:rsid w:val="00A31A35"/>
    <w:rsid w:val="00A31F6B"/>
    <w:rsid w:val="00A33CFF"/>
    <w:rsid w:val="00A33DFA"/>
    <w:rsid w:val="00A3504F"/>
    <w:rsid w:val="00A35805"/>
    <w:rsid w:val="00A35E0A"/>
    <w:rsid w:val="00A36122"/>
    <w:rsid w:val="00A372D1"/>
    <w:rsid w:val="00A37442"/>
    <w:rsid w:val="00A4195F"/>
    <w:rsid w:val="00A451D5"/>
    <w:rsid w:val="00A456C2"/>
    <w:rsid w:val="00A4608F"/>
    <w:rsid w:val="00A464F2"/>
    <w:rsid w:val="00A469DA"/>
    <w:rsid w:val="00A46B33"/>
    <w:rsid w:val="00A51403"/>
    <w:rsid w:val="00A51BF2"/>
    <w:rsid w:val="00A52137"/>
    <w:rsid w:val="00A53E28"/>
    <w:rsid w:val="00A54C8B"/>
    <w:rsid w:val="00A54CE8"/>
    <w:rsid w:val="00A55985"/>
    <w:rsid w:val="00A55A5A"/>
    <w:rsid w:val="00A55DE8"/>
    <w:rsid w:val="00A562D3"/>
    <w:rsid w:val="00A57D72"/>
    <w:rsid w:val="00A6013A"/>
    <w:rsid w:val="00A6027B"/>
    <w:rsid w:val="00A60E30"/>
    <w:rsid w:val="00A61186"/>
    <w:rsid w:val="00A61BA0"/>
    <w:rsid w:val="00A62BA7"/>
    <w:rsid w:val="00A63C12"/>
    <w:rsid w:val="00A647EF"/>
    <w:rsid w:val="00A65375"/>
    <w:rsid w:val="00A66B7A"/>
    <w:rsid w:val="00A67DEC"/>
    <w:rsid w:val="00A725F0"/>
    <w:rsid w:val="00A72D64"/>
    <w:rsid w:val="00A73493"/>
    <w:rsid w:val="00A7400E"/>
    <w:rsid w:val="00A744DC"/>
    <w:rsid w:val="00A771DE"/>
    <w:rsid w:val="00A81688"/>
    <w:rsid w:val="00A823D6"/>
    <w:rsid w:val="00A8256B"/>
    <w:rsid w:val="00A835D5"/>
    <w:rsid w:val="00A8388B"/>
    <w:rsid w:val="00A838C0"/>
    <w:rsid w:val="00A856F8"/>
    <w:rsid w:val="00A87C81"/>
    <w:rsid w:val="00A87D19"/>
    <w:rsid w:val="00A9025F"/>
    <w:rsid w:val="00A904EC"/>
    <w:rsid w:val="00A90D42"/>
    <w:rsid w:val="00A941C0"/>
    <w:rsid w:val="00A947AE"/>
    <w:rsid w:val="00A968F7"/>
    <w:rsid w:val="00A9738F"/>
    <w:rsid w:val="00A97DDB"/>
    <w:rsid w:val="00AA0BB5"/>
    <w:rsid w:val="00AA0CC0"/>
    <w:rsid w:val="00AA0E6A"/>
    <w:rsid w:val="00AA2478"/>
    <w:rsid w:val="00AA2AA2"/>
    <w:rsid w:val="00AA3293"/>
    <w:rsid w:val="00AA3F66"/>
    <w:rsid w:val="00AA5444"/>
    <w:rsid w:val="00AA5540"/>
    <w:rsid w:val="00AA560D"/>
    <w:rsid w:val="00AA6904"/>
    <w:rsid w:val="00AA72BC"/>
    <w:rsid w:val="00AB1A87"/>
    <w:rsid w:val="00AB5890"/>
    <w:rsid w:val="00AB608E"/>
    <w:rsid w:val="00AB6974"/>
    <w:rsid w:val="00AB6A20"/>
    <w:rsid w:val="00AB7507"/>
    <w:rsid w:val="00AC023C"/>
    <w:rsid w:val="00AC0391"/>
    <w:rsid w:val="00AC0CDF"/>
    <w:rsid w:val="00AC0EDC"/>
    <w:rsid w:val="00AC11AA"/>
    <w:rsid w:val="00AC1645"/>
    <w:rsid w:val="00AC19B0"/>
    <w:rsid w:val="00AC2436"/>
    <w:rsid w:val="00AC2E6A"/>
    <w:rsid w:val="00AC3313"/>
    <w:rsid w:val="00AC460B"/>
    <w:rsid w:val="00AC495F"/>
    <w:rsid w:val="00AC52B2"/>
    <w:rsid w:val="00AC57FE"/>
    <w:rsid w:val="00AC65AC"/>
    <w:rsid w:val="00AC699D"/>
    <w:rsid w:val="00AD04A5"/>
    <w:rsid w:val="00AD1321"/>
    <w:rsid w:val="00AD182D"/>
    <w:rsid w:val="00AD3270"/>
    <w:rsid w:val="00AD377C"/>
    <w:rsid w:val="00AD3A5C"/>
    <w:rsid w:val="00AD4075"/>
    <w:rsid w:val="00AD5A52"/>
    <w:rsid w:val="00AD6E19"/>
    <w:rsid w:val="00AD7483"/>
    <w:rsid w:val="00AE0301"/>
    <w:rsid w:val="00AE03F4"/>
    <w:rsid w:val="00AE09BA"/>
    <w:rsid w:val="00AE1C82"/>
    <w:rsid w:val="00AE2770"/>
    <w:rsid w:val="00AE45DB"/>
    <w:rsid w:val="00AE45FC"/>
    <w:rsid w:val="00AE4A39"/>
    <w:rsid w:val="00AE54EF"/>
    <w:rsid w:val="00AE5FF1"/>
    <w:rsid w:val="00AE6F98"/>
    <w:rsid w:val="00AF0D2E"/>
    <w:rsid w:val="00AF0ED0"/>
    <w:rsid w:val="00AF1973"/>
    <w:rsid w:val="00AF27BF"/>
    <w:rsid w:val="00AF2A20"/>
    <w:rsid w:val="00AF39C2"/>
    <w:rsid w:val="00AF4484"/>
    <w:rsid w:val="00AF45D0"/>
    <w:rsid w:val="00AF5948"/>
    <w:rsid w:val="00AF5DFB"/>
    <w:rsid w:val="00AF6F25"/>
    <w:rsid w:val="00AF7494"/>
    <w:rsid w:val="00AF77DA"/>
    <w:rsid w:val="00AF7FDE"/>
    <w:rsid w:val="00B00259"/>
    <w:rsid w:val="00B0039D"/>
    <w:rsid w:val="00B0043F"/>
    <w:rsid w:val="00B00AC6"/>
    <w:rsid w:val="00B00EC6"/>
    <w:rsid w:val="00B0129E"/>
    <w:rsid w:val="00B018FC"/>
    <w:rsid w:val="00B01CEE"/>
    <w:rsid w:val="00B03445"/>
    <w:rsid w:val="00B03967"/>
    <w:rsid w:val="00B03A64"/>
    <w:rsid w:val="00B0605F"/>
    <w:rsid w:val="00B0762A"/>
    <w:rsid w:val="00B10D8A"/>
    <w:rsid w:val="00B1139B"/>
    <w:rsid w:val="00B125B1"/>
    <w:rsid w:val="00B12927"/>
    <w:rsid w:val="00B12A11"/>
    <w:rsid w:val="00B12A70"/>
    <w:rsid w:val="00B148CB"/>
    <w:rsid w:val="00B15DAC"/>
    <w:rsid w:val="00B175B5"/>
    <w:rsid w:val="00B179F7"/>
    <w:rsid w:val="00B2062F"/>
    <w:rsid w:val="00B20764"/>
    <w:rsid w:val="00B21FD7"/>
    <w:rsid w:val="00B22200"/>
    <w:rsid w:val="00B223DE"/>
    <w:rsid w:val="00B2387F"/>
    <w:rsid w:val="00B25F27"/>
    <w:rsid w:val="00B2633C"/>
    <w:rsid w:val="00B26E4D"/>
    <w:rsid w:val="00B27474"/>
    <w:rsid w:val="00B3001E"/>
    <w:rsid w:val="00B3019B"/>
    <w:rsid w:val="00B30E41"/>
    <w:rsid w:val="00B31B76"/>
    <w:rsid w:val="00B32A7D"/>
    <w:rsid w:val="00B33255"/>
    <w:rsid w:val="00B34369"/>
    <w:rsid w:val="00B34573"/>
    <w:rsid w:val="00B345D2"/>
    <w:rsid w:val="00B34B4D"/>
    <w:rsid w:val="00B359F0"/>
    <w:rsid w:val="00B35EF8"/>
    <w:rsid w:val="00B360C1"/>
    <w:rsid w:val="00B36E4F"/>
    <w:rsid w:val="00B3714C"/>
    <w:rsid w:val="00B37E32"/>
    <w:rsid w:val="00B4104E"/>
    <w:rsid w:val="00B41888"/>
    <w:rsid w:val="00B423CF"/>
    <w:rsid w:val="00B428E5"/>
    <w:rsid w:val="00B42EF3"/>
    <w:rsid w:val="00B43156"/>
    <w:rsid w:val="00B434A4"/>
    <w:rsid w:val="00B43AF6"/>
    <w:rsid w:val="00B45EA9"/>
    <w:rsid w:val="00B462E4"/>
    <w:rsid w:val="00B463FC"/>
    <w:rsid w:val="00B4794D"/>
    <w:rsid w:val="00B50E17"/>
    <w:rsid w:val="00B512E4"/>
    <w:rsid w:val="00B51D84"/>
    <w:rsid w:val="00B52D2F"/>
    <w:rsid w:val="00B531FA"/>
    <w:rsid w:val="00B532AF"/>
    <w:rsid w:val="00B54551"/>
    <w:rsid w:val="00B546A7"/>
    <w:rsid w:val="00B54D29"/>
    <w:rsid w:val="00B55048"/>
    <w:rsid w:val="00B5532E"/>
    <w:rsid w:val="00B55F06"/>
    <w:rsid w:val="00B56341"/>
    <w:rsid w:val="00B60421"/>
    <w:rsid w:val="00B62C67"/>
    <w:rsid w:val="00B63700"/>
    <w:rsid w:val="00B658F9"/>
    <w:rsid w:val="00B65D79"/>
    <w:rsid w:val="00B6672E"/>
    <w:rsid w:val="00B72708"/>
    <w:rsid w:val="00B72FA3"/>
    <w:rsid w:val="00B749AC"/>
    <w:rsid w:val="00B74AB4"/>
    <w:rsid w:val="00B74E7C"/>
    <w:rsid w:val="00B7655C"/>
    <w:rsid w:val="00B768C7"/>
    <w:rsid w:val="00B77B69"/>
    <w:rsid w:val="00B802F5"/>
    <w:rsid w:val="00B80A8F"/>
    <w:rsid w:val="00B80D32"/>
    <w:rsid w:val="00B80EF4"/>
    <w:rsid w:val="00B81190"/>
    <w:rsid w:val="00B81901"/>
    <w:rsid w:val="00B83138"/>
    <w:rsid w:val="00B83B7F"/>
    <w:rsid w:val="00B8494C"/>
    <w:rsid w:val="00B849B0"/>
    <w:rsid w:val="00B84A9F"/>
    <w:rsid w:val="00B868CA"/>
    <w:rsid w:val="00B87246"/>
    <w:rsid w:val="00B87A8D"/>
    <w:rsid w:val="00B87DB2"/>
    <w:rsid w:val="00B90514"/>
    <w:rsid w:val="00B92976"/>
    <w:rsid w:val="00B937D1"/>
    <w:rsid w:val="00B947F6"/>
    <w:rsid w:val="00B95739"/>
    <w:rsid w:val="00B95765"/>
    <w:rsid w:val="00B95F96"/>
    <w:rsid w:val="00B97886"/>
    <w:rsid w:val="00BA0159"/>
    <w:rsid w:val="00BA06E8"/>
    <w:rsid w:val="00BA1FB4"/>
    <w:rsid w:val="00BA2961"/>
    <w:rsid w:val="00BA2A5C"/>
    <w:rsid w:val="00BA2E36"/>
    <w:rsid w:val="00BA2EAA"/>
    <w:rsid w:val="00BA5BB3"/>
    <w:rsid w:val="00BA60AF"/>
    <w:rsid w:val="00BA7703"/>
    <w:rsid w:val="00BB0E12"/>
    <w:rsid w:val="00BB147A"/>
    <w:rsid w:val="00BB1DF5"/>
    <w:rsid w:val="00BB2033"/>
    <w:rsid w:val="00BB2115"/>
    <w:rsid w:val="00BB398F"/>
    <w:rsid w:val="00BB4944"/>
    <w:rsid w:val="00BB4A00"/>
    <w:rsid w:val="00BB4F28"/>
    <w:rsid w:val="00BB516C"/>
    <w:rsid w:val="00BB51B4"/>
    <w:rsid w:val="00BB528D"/>
    <w:rsid w:val="00BB5526"/>
    <w:rsid w:val="00BB67CD"/>
    <w:rsid w:val="00BB75CD"/>
    <w:rsid w:val="00BB7F2A"/>
    <w:rsid w:val="00BB7F2E"/>
    <w:rsid w:val="00BC09DA"/>
    <w:rsid w:val="00BC20AB"/>
    <w:rsid w:val="00BC24D2"/>
    <w:rsid w:val="00BC2808"/>
    <w:rsid w:val="00BC4DDA"/>
    <w:rsid w:val="00BC4E58"/>
    <w:rsid w:val="00BC6EB7"/>
    <w:rsid w:val="00BC7071"/>
    <w:rsid w:val="00BC7553"/>
    <w:rsid w:val="00BC7EB8"/>
    <w:rsid w:val="00BD0BCD"/>
    <w:rsid w:val="00BD148F"/>
    <w:rsid w:val="00BD2432"/>
    <w:rsid w:val="00BD3295"/>
    <w:rsid w:val="00BD3AEE"/>
    <w:rsid w:val="00BD3F2A"/>
    <w:rsid w:val="00BD485A"/>
    <w:rsid w:val="00BD50B9"/>
    <w:rsid w:val="00BD697D"/>
    <w:rsid w:val="00BD69F9"/>
    <w:rsid w:val="00BE03F3"/>
    <w:rsid w:val="00BE083E"/>
    <w:rsid w:val="00BE086F"/>
    <w:rsid w:val="00BE0C5C"/>
    <w:rsid w:val="00BE1328"/>
    <w:rsid w:val="00BE2075"/>
    <w:rsid w:val="00BE24BC"/>
    <w:rsid w:val="00BE2647"/>
    <w:rsid w:val="00BE3059"/>
    <w:rsid w:val="00BE5157"/>
    <w:rsid w:val="00BE74DF"/>
    <w:rsid w:val="00BE786B"/>
    <w:rsid w:val="00BF03E3"/>
    <w:rsid w:val="00BF1B32"/>
    <w:rsid w:val="00BF23E0"/>
    <w:rsid w:val="00BF4E6E"/>
    <w:rsid w:val="00BF6090"/>
    <w:rsid w:val="00C0126B"/>
    <w:rsid w:val="00C0183F"/>
    <w:rsid w:val="00C01E83"/>
    <w:rsid w:val="00C031A2"/>
    <w:rsid w:val="00C03224"/>
    <w:rsid w:val="00C05A96"/>
    <w:rsid w:val="00C05B23"/>
    <w:rsid w:val="00C05E86"/>
    <w:rsid w:val="00C06F44"/>
    <w:rsid w:val="00C070B2"/>
    <w:rsid w:val="00C10D36"/>
    <w:rsid w:val="00C10F58"/>
    <w:rsid w:val="00C12E0B"/>
    <w:rsid w:val="00C1450C"/>
    <w:rsid w:val="00C14AB1"/>
    <w:rsid w:val="00C15789"/>
    <w:rsid w:val="00C15C97"/>
    <w:rsid w:val="00C15D9B"/>
    <w:rsid w:val="00C16113"/>
    <w:rsid w:val="00C169D0"/>
    <w:rsid w:val="00C1718F"/>
    <w:rsid w:val="00C21AC4"/>
    <w:rsid w:val="00C235CE"/>
    <w:rsid w:val="00C23754"/>
    <w:rsid w:val="00C2388A"/>
    <w:rsid w:val="00C24427"/>
    <w:rsid w:val="00C248B4"/>
    <w:rsid w:val="00C24919"/>
    <w:rsid w:val="00C24AF0"/>
    <w:rsid w:val="00C2509C"/>
    <w:rsid w:val="00C25124"/>
    <w:rsid w:val="00C260FC"/>
    <w:rsid w:val="00C27954"/>
    <w:rsid w:val="00C301A7"/>
    <w:rsid w:val="00C33D32"/>
    <w:rsid w:val="00C364CC"/>
    <w:rsid w:val="00C36E40"/>
    <w:rsid w:val="00C36FC5"/>
    <w:rsid w:val="00C3778D"/>
    <w:rsid w:val="00C3798F"/>
    <w:rsid w:val="00C41469"/>
    <w:rsid w:val="00C417C6"/>
    <w:rsid w:val="00C418F2"/>
    <w:rsid w:val="00C42C94"/>
    <w:rsid w:val="00C42EA5"/>
    <w:rsid w:val="00C4390D"/>
    <w:rsid w:val="00C43CB7"/>
    <w:rsid w:val="00C43F3C"/>
    <w:rsid w:val="00C443D1"/>
    <w:rsid w:val="00C44BF4"/>
    <w:rsid w:val="00C44F2A"/>
    <w:rsid w:val="00C45FAA"/>
    <w:rsid w:val="00C46D17"/>
    <w:rsid w:val="00C46DB3"/>
    <w:rsid w:val="00C46E41"/>
    <w:rsid w:val="00C47B79"/>
    <w:rsid w:val="00C50159"/>
    <w:rsid w:val="00C507B6"/>
    <w:rsid w:val="00C51154"/>
    <w:rsid w:val="00C51473"/>
    <w:rsid w:val="00C51F5A"/>
    <w:rsid w:val="00C52943"/>
    <w:rsid w:val="00C52BFC"/>
    <w:rsid w:val="00C52E4B"/>
    <w:rsid w:val="00C536CD"/>
    <w:rsid w:val="00C542B7"/>
    <w:rsid w:val="00C54B1B"/>
    <w:rsid w:val="00C54D94"/>
    <w:rsid w:val="00C54E57"/>
    <w:rsid w:val="00C557BD"/>
    <w:rsid w:val="00C55BC5"/>
    <w:rsid w:val="00C56A8C"/>
    <w:rsid w:val="00C57D9B"/>
    <w:rsid w:val="00C60610"/>
    <w:rsid w:val="00C60BA9"/>
    <w:rsid w:val="00C6147D"/>
    <w:rsid w:val="00C6191F"/>
    <w:rsid w:val="00C6275F"/>
    <w:rsid w:val="00C66E85"/>
    <w:rsid w:val="00C671D3"/>
    <w:rsid w:val="00C67704"/>
    <w:rsid w:val="00C7052B"/>
    <w:rsid w:val="00C70B64"/>
    <w:rsid w:val="00C73288"/>
    <w:rsid w:val="00C735C0"/>
    <w:rsid w:val="00C7362E"/>
    <w:rsid w:val="00C746F9"/>
    <w:rsid w:val="00C75103"/>
    <w:rsid w:val="00C753D3"/>
    <w:rsid w:val="00C76861"/>
    <w:rsid w:val="00C76A23"/>
    <w:rsid w:val="00C77C54"/>
    <w:rsid w:val="00C80322"/>
    <w:rsid w:val="00C83308"/>
    <w:rsid w:val="00C84736"/>
    <w:rsid w:val="00C85062"/>
    <w:rsid w:val="00C85672"/>
    <w:rsid w:val="00C8571F"/>
    <w:rsid w:val="00C85916"/>
    <w:rsid w:val="00C85A38"/>
    <w:rsid w:val="00C85D61"/>
    <w:rsid w:val="00C8745E"/>
    <w:rsid w:val="00C9053B"/>
    <w:rsid w:val="00C905FF"/>
    <w:rsid w:val="00C90FCD"/>
    <w:rsid w:val="00C917EE"/>
    <w:rsid w:val="00C92086"/>
    <w:rsid w:val="00C92660"/>
    <w:rsid w:val="00C93631"/>
    <w:rsid w:val="00C94704"/>
    <w:rsid w:val="00C953B8"/>
    <w:rsid w:val="00C9577A"/>
    <w:rsid w:val="00C959D1"/>
    <w:rsid w:val="00C9608E"/>
    <w:rsid w:val="00C966DC"/>
    <w:rsid w:val="00C976BC"/>
    <w:rsid w:val="00C977A5"/>
    <w:rsid w:val="00C9787C"/>
    <w:rsid w:val="00CA162C"/>
    <w:rsid w:val="00CA1F80"/>
    <w:rsid w:val="00CA25CC"/>
    <w:rsid w:val="00CA33D1"/>
    <w:rsid w:val="00CA387C"/>
    <w:rsid w:val="00CA4366"/>
    <w:rsid w:val="00CA4DC7"/>
    <w:rsid w:val="00CA507F"/>
    <w:rsid w:val="00CA50D2"/>
    <w:rsid w:val="00CA633D"/>
    <w:rsid w:val="00CA736E"/>
    <w:rsid w:val="00CB071A"/>
    <w:rsid w:val="00CB1A7F"/>
    <w:rsid w:val="00CB2DD4"/>
    <w:rsid w:val="00CB402C"/>
    <w:rsid w:val="00CB4BF7"/>
    <w:rsid w:val="00CB734B"/>
    <w:rsid w:val="00CC06FF"/>
    <w:rsid w:val="00CC0BD0"/>
    <w:rsid w:val="00CC18E9"/>
    <w:rsid w:val="00CC215A"/>
    <w:rsid w:val="00CC2429"/>
    <w:rsid w:val="00CC31BA"/>
    <w:rsid w:val="00CC621B"/>
    <w:rsid w:val="00CC6565"/>
    <w:rsid w:val="00CC7527"/>
    <w:rsid w:val="00CD0561"/>
    <w:rsid w:val="00CD06D1"/>
    <w:rsid w:val="00CD108F"/>
    <w:rsid w:val="00CD170A"/>
    <w:rsid w:val="00CD2343"/>
    <w:rsid w:val="00CD2B05"/>
    <w:rsid w:val="00CD2EDE"/>
    <w:rsid w:val="00CD3C8A"/>
    <w:rsid w:val="00CD562E"/>
    <w:rsid w:val="00CD7BB2"/>
    <w:rsid w:val="00CD7C16"/>
    <w:rsid w:val="00CE087F"/>
    <w:rsid w:val="00CE11AC"/>
    <w:rsid w:val="00CE131E"/>
    <w:rsid w:val="00CE1E17"/>
    <w:rsid w:val="00CE1F23"/>
    <w:rsid w:val="00CE1F8D"/>
    <w:rsid w:val="00CE225F"/>
    <w:rsid w:val="00CE3296"/>
    <w:rsid w:val="00CE3F3C"/>
    <w:rsid w:val="00CE56B8"/>
    <w:rsid w:val="00CE645A"/>
    <w:rsid w:val="00CE6462"/>
    <w:rsid w:val="00CE7F6B"/>
    <w:rsid w:val="00CF0467"/>
    <w:rsid w:val="00CF0BF9"/>
    <w:rsid w:val="00CF321E"/>
    <w:rsid w:val="00CF3BE2"/>
    <w:rsid w:val="00CF3C61"/>
    <w:rsid w:val="00CF790A"/>
    <w:rsid w:val="00D0031B"/>
    <w:rsid w:val="00D00B87"/>
    <w:rsid w:val="00D02899"/>
    <w:rsid w:val="00D02B23"/>
    <w:rsid w:val="00D02E4E"/>
    <w:rsid w:val="00D02EBA"/>
    <w:rsid w:val="00D02F2F"/>
    <w:rsid w:val="00D031BD"/>
    <w:rsid w:val="00D03D5C"/>
    <w:rsid w:val="00D043B6"/>
    <w:rsid w:val="00D051CA"/>
    <w:rsid w:val="00D05F68"/>
    <w:rsid w:val="00D06E13"/>
    <w:rsid w:val="00D07482"/>
    <w:rsid w:val="00D07B70"/>
    <w:rsid w:val="00D1055F"/>
    <w:rsid w:val="00D10B25"/>
    <w:rsid w:val="00D11E27"/>
    <w:rsid w:val="00D127EC"/>
    <w:rsid w:val="00D128A7"/>
    <w:rsid w:val="00D13481"/>
    <w:rsid w:val="00D13AE0"/>
    <w:rsid w:val="00D144A5"/>
    <w:rsid w:val="00D15A8A"/>
    <w:rsid w:val="00D15BEE"/>
    <w:rsid w:val="00D15FA4"/>
    <w:rsid w:val="00D16673"/>
    <w:rsid w:val="00D16C8A"/>
    <w:rsid w:val="00D20CCB"/>
    <w:rsid w:val="00D21C1A"/>
    <w:rsid w:val="00D21FB3"/>
    <w:rsid w:val="00D22072"/>
    <w:rsid w:val="00D230E1"/>
    <w:rsid w:val="00D23C63"/>
    <w:rsid w:val="00D23E1A"/>
    <w:rsid w:val="00D2533D"/>
    <w:rsid w:val="00D255E6"/>
    <w:rsid w:val="00D2575C"/>
    <w:rsid w:val="00D26312"/>
    <w:rsid w:val="00D27E3A"/>
    <w:rsid w:val="00D301AB"/>
    <w:rsid w:val="00D30E66"/>
    <w:rsid w:val="00D31FAF"/>
    <w:rsid w:val="00D3231C"/>
    <w:rsid w:val="00D32DDB"/>
    <w:rsid w:val="00D3475D"/>
    <w:rsid w:val="00D359A6"/>
    <w:rsid w:val="00D35F59"/>
    <w:rsid w:val="00D36C31"/>
    <w:rsid w:val="00D4049D"/>
    <w:rsid w:val="00D40BBF"/>
    <w:rsid w:val="00D4146F"/>
    <w:rsid w:val="00D43988"/>
    <w:rsid w:val="00D43B56"/>
    <w:rsid w:val="00D47024"/>
    <w:rsid w:val="00D50E86"/>
    <w:rsid w:val="00D52389"/>
    <w:rsid w:val="00D52553"/>
    <w:rsid w:val="00D52C55"/>
    <w:rsid w:val="00D52F01"/>
    <w:rsid w:val="00D545BD"/>
    <w:rsid w:val="00D564DD"/>
    <w:rsid w:val="00D56680"/>
    <w:rsid w:val="00D56BB8"/>
    <w:rsid w:val="00D56D5C"/>
    <w:rsid w:val="00D57F64"/>
    <w:rsid w:val="00D60BE2"/>
    <w:rsid w:val="00D640DA"/>
    <w:rsid w:val="00D6468E"/>
    <w:rsid w:val="00D64936"/>
    <w:rsid w:val="00D64DA4"/>
    <w:rsid w:val="00D6558C"/>
    <w:rsid w:val="00D659F9"/>
    <w:rsid w:val="00D666F2"/>
    <w:rsid w:val="00D66D2B"/>
    <w:rsid w:val="00D673F2"/>
    <w:rsid w:val="00D67AC2"/>
    <w:rsid w:val="00D70FB6"/>
    <w:rsid w:val="00D71481"/>
    <w:rsid w:val="00D71B81"/>
    <w:rsid w:val="00D71DAE"/>
    <w:rsid w:val="00D7265E"/>
    <w:rsid w:val="00D72D61"/>
    <w:rsid w:val="00D75AD9"/>
    <w:rsid w:val="00D7620D"/>
    <w:rsid w:val="00D76A42"/>
    <w:rsid w:val="00D76EB7"/>
    <w:rsid w:val="00D77311"/>
    <w:rsid w:val="00D77971"/>
    <w:rsid w:val="00D821C3"/>
    <w:rsid w:val="00D8334F"/>
    <w:rsid w:val="00D83AB8"/>
    <w:rsid w:val="00D85981"/>
    <w:rsid w:val="00D86AFD"/>
    <w:rsid w:val="00D876BD"/>
    <w:rsid w:val="00D90170"/>
    <w:rsid w:val="00D901AF"/>
    <w:rsid w:val="00D9097C"/>
    <w:rsid w:val="00D90D4E"/>
    <w:rsid w:val="00D90F3E"/>
    <w:rsid w:val="00D91B33"/>
    <w:rsid w:val="00D91CDF"/>
    <w:rsid w:val="00D921BD"/>
    <w:rsid w:val="00D923C6"/>
    <w:rsid w:val="00D93165"/>
    <w:rsid w:val="00D9334F"/>
    <w:rsid w:val="00D93D68"/>
    <w:rsid w:val="00D93F87"/>
    <w:rsid w:val="00D945C8"/>
    <w:rsid w:val="00D94713"/>
    <w:rsid w:val="00D94736"/>
    <w:rsid w:val="00D95017"/>
    <w:rsid w:val="00D958F6"/>
    <w:rsid w:val="00D95FC5"/>
    <w:rsid w:val="00D962E3"/>
    <w:rsid w:val="00D966AF"/>
    <w:rsid w:val="00D9689F"/>
    <w:rsid w:val="00D96B21"/>
    <w:rsid w:val="00DA0370"/>
    <w:rsid w:val="00DA10D5"/>
    <w:rsid w:val="00DA33CF"/>
    <w:rsid w:val="00DA383E"/>
    <w:rsid w:val="00DA3938"/>
    <w:rsid w:val="00DA39CA"/>
    <w:rsid w:val="00DA44E4"/>
    <w:rsid w:val="00DA4A14"/>
    <w:rsid w:val="00DA5F6D"/>
    <w:rsid w:val="00DA5FD9"/>
    <w:rsid w:val="00DB0F81"/>
    <w:rsid w:val="00DB1155"/>
    <w:rsid w:val="00DB1209"/>
    <w:rsid w:val="00DB2240"/>
    <w:rsid w:val="00DB27A5"/>
    <w:rsid w:val="00DB2DB5"/>
    <w:rsid w:val="00DB46EE"/>
    <w:rsid w:val="00DB552E"/>
    <w:rsid w:val="00DB5CAA"/>
    <w:rsid w:val="00DB65C6"/>
    <w:rsid w:val="00DB6638"/>
    <w:rsid w:val="00DB7893"/>
    <w:rsid w:val="00DB7A7B"/>
    <w:rsid w:val="00DC06D8"/>
    <w:rsid w:val="00DC08D0"/>
    <w:rsid w:val="00DC0F54"/>
    <w:rsid w:val="00DC20B8"/>
    <w:rsid w:val="00DC23CB"/>
    <w:rsid w:val="00DC2464"/>
    <w:rsid w:val="00DC2A45"/>
    <w:rsid w:val="00DC2F4A"/>
    <w:rsid w:val="00DC33A9"/>
    <w:rsid w:val="00DC3F94"/>
    <w:rsid w:val="00DC4528"/>
    <w:rsid w:val="00DC4A9E"/>
    <w:rsid w:val="00DC4D97"/>
    <w:rsid w:val="00DC63B4"/>
    <w:rsid w:val="00DC6627"/>
    <w:rsid w:val="00DC7BCC"/>
    <w:rsid w:val="00DC7F62"/>
    <w:rsid w:val="00DD0358"/>
    <w:rsid w:val="00DD063B"/>
    <w:rsid w:val="00DD0BA0"/>
    <w:rsid w:val="00DD0F41"/>
    <w:rsid w:val="00DD134E"/>
    <w:rsid w:val="00DD1642"/>
    <w:rsid w:val="00DD2B47"/>
    <w:rsid w:val="00DD332E"/>
    <w:rsid w:val="00DD4E09"/>
    <w:rsid w:val="00DD5ADB"/>
    <w:rsid w:val="00DD5C49"/>
    <w:rsid w:val="00DD6359"/>
    <w:rsid w:val="00DD6898"/>
    <w:rsid w:val="00DD7D56"/>
    <w:rsid w:val="00DE1001"/>
    <w:rsid w:val="00DE15D6"/>
    <w:rsid w:val="00DE2358"/>
    <w:rsid w:val="00DE264A"/>
    <w:rsid w:val="00DE3528"/>
    <w:rsid w:val="00DE4145"/>
    <w:rsid w:val="00DE4490"/>
    <w:rsid w:val="00DE5302"/>
    <w:rsid w:val="00DE6C33"/>
    <w:rsid w:val="00DE770A"/>
    <w:rsid w:val="00DF0C3C"/>
    <w:rsid w:val="00DF17DC"/>
    <w:rsid w:val="00DF6128"/>
    <w:rsid w:val="00DF6EDB"/>
    <w:rsid w:val="00DF70F5"/>
    <w:rsid w:val="00DF727C"/>
    <w:rsid w:val="00E017AC"/>
    <w:rsid w:val="00E01BD6"/>
    <w:rsid w:val="00E024CE"/>
    <w:rsid w:val="00E02E51"/>
    <w:rsid w:val="00E038B6"/>
    <w:rsid w:val="00E03E63"/>
    <w:rsid w:val="00E03E91"/>
    <w:rsid w:val="00E054EB"/>
    <w:rsid w:val="00E0565E"/>
    <w:rsid w:val="00E05678"/>
    <w:rsid w:val="00E111A7"/>
    <w:rsid w:val="00E11343"/>
    <w:rsid w:val="00E11B24"/>
    <w:rsid w:val="00E130E1"/>
    <w:rsid w:val="00E13AD2"/>
    <w:rsid w:val="00E1415F"/>
    <w:rsid w:val="00E14597"/>
    <w:rsid w:val="00E14C18"/>
    <w:rsid w:val="00E156AC"/>
    <w:rsid w:val="00E156E7"/>
    <w:rsid w:val="00E15CDB"/>
    <w:rsid w:val="00E1615A"/>
    <w:rsid w:val="00E16DAF"/>
    <w:rsid w:val="00E175A5"/>
    <w:rsid w:val="00E17816"/>
    <w:rsid w:val="00E17C31"/>
    <w:rsid w:val="00E21212"/>
    <w:rsid w:val="00E2166F"/>
    <w:rsid w:val="00E21C22"/>
    <w:rsid w:val="00E21CDE"/>
    <w:rsid w:val="00E22531"/>
    <w:rsid w:val="00E22871"/>
    <w:rsid w:val="00E228A9"/>
    <w:rsid w:val="00E23D8B"/>
    <w:rsid w:val="00E23DA4"/>
    <w:rsid w:val="00E24257"/>
    <w:rsid w:val="00E2585A"/>
    <w:rsid w:val="00E25B74"/>
    <w:rsid w:val="00E25C4C"/>
    <w:rsid w:val="00E26888"/>
    <w:rsid w:val="00E272A2"/>
    <w:rsid w:val="00E2784F"/>
    <w:rsid w:val="00E3064A"/>
    <w:rsid w:val="00E30A7A"/>
    <w:rsid w:val="00E30E4D"/>
    <w:rsid w:val="00E30E75"/>
    <w:rsid w:val="00E32718"/>
    <w:rsid w:val="00E33BFC"/>
    <w:rsid w:val="00E353A8"/>
    <w:rsid w:val="00E3547C"/>
    <w:rsid w:val="00E357BC"/>
    <w:rsid w:val="00E36B7F"/>
    <w:rsid w:val="00E400FE"/>
    <w:rsid w:val="00E42AC2"/>
    <w:rsid w:val="00E43E1E"/>
    <w:rsid w:val="00E44120"/>
    <w:rsid w:val="00E44490"/>
    <w:rsid w:val="00E456A4"/>
    <w:rsid w:val="00E46445"/>
    <w:rsid w:val="00E46549"/>
    <w:rsid w:val="00E46665"/>
    <w:rsid w:val="00E46B38"/>
    <w:rsid w:val="00E47C1E"/>
    <w:rsid w:val="00E50122"/>
    <w:rsid w:val="00E50278"/>
    <w:rsid w:val="00E506CB"/>
    <w:rsid w:val="00E5188F"/>
    <w:rsid w:val="00E51B17"/>
    <w:rsid w:val="00E5264F"/>
    <w:rsid w:val="00E52A42"/>
    <w:rsid w:val="00E53B47"/>
    <w:rsid w:val="00E53C7E"/>
    <w:rsid w:val="00E54CDD"/>
    <w:rsid w:val="00E55DAE"/>
    <w:rsid w:val="00E57038"/>
    <w:rsid w:val="00E57719"/>
    <w:rsid w:val="00E57876"/>
    <w:rsid w:val="00E6057C"/>
    <w:rsid w:val="00E60B21"/>
    <w:rsid w:val="00E6158E"/>
    <w:rsid w:val="00E61593"/>
    <w:rsid w:val="00E61FCC"/>
    <w:rsid w:val="00E62C90"/>
    <w:rsid w:val="00E63867"/>
    <w:rsid w:val="00E670CF"/>
    <w:rsid w:val="00E67601"/>
    <w:rsid w:val="00E71106"/>
    <w:rsid w:val="00E71154"/>
    <w:rsid w:val="00E730D7"/>
    <w:rsid w:val="00E735D1"/>
    <w:rsid w:val="00E73953"/>
    <w:rsid w:val="00E7518B"/>
    <w:rsid w:val="00E75391"/>
    <w:rsid w:val="00E767FD"/>
    <w:rsid w:val="00E76B5C"/>
    <w:rsid w:val="00E774CD"/>
    <w:rsid w:val="00E779C5"/>
    <w:rsid w:val="00E802BB"/>
    <w:rsid w:val="00E80382"/>
    <w:rsid w:val="00E80982"/>
    <w:rsid w:val="00E83C84"/>
    <w:rsid w:val="00E8403D"/>
    <w:rsid w:val="00E8418D"/>
    <w:rsid w:val="00E84322"/>
    <w:rsid w:val="00E84827"/>
    <w:rsid w:val="00E8488F"/>
    <w:rsid w:val="00E84A05"/>
    <w:rsid w:val="00E85603"/>
    <w:rsid w:val="00E85778"/>
    <w:rsid w:val="00E85BEB"/>
    <w:rsid w:val="00E8707C"/>
    <w:rsid w:val="00E87578"/>
    <w:rsid w:val="00E87DFA"/>
    <w:rsid w:val="00E91A65"/>
    <w:rsid w:val="00E92143"/>
    <w:rsid w:val="00E923C6"/>
    <w:rsid w:val="00E92EC0"/>
    <w:rsid w:val="00E93908"/>
    <w:rsid w:val="00E9511B"/>
    <w:rsid w:val="00E95390"/>
    <w:rsid w:val="00E962FB"/>
    <w:rsid w:val="00E9702E"/>
    <w:rsid w:val="00E976D1"/>
    <w:rsid w:val="00EA0289"/>
    <w:rsid w:val="00EA05A4"/>
    <w:rsid w:val="00EA122E"/>
    <w:rsid w:val="00EA19BC"/>
    <w:rsid w:val="00EA1CD5"/>
    <w:rsid w:val="00EA2634"/>
    <w:rsid w:val="00EA2728"/>
    <w:rsid w:val="00EA4391"/>
    <w:rsid w:val="00EA43F4"/>
    <w:rsid w:val="00EA4BAB"/>
    <w:rsid w:val="00EA6D85"/>
    <w:rsid w:val="00EA7D01"/>
    <w:rsid w:val="00EA7E21"/>
    <w:rsid w:val="00EB00EE"/>
    <w:rsid w:val="00EB10B5"/>
    <w:rsid w:val="00EB1595"/>
    <w:rsid w:val="00EB1ACD"/>
    <w:rsid w:val="00EB2308"/>
    <w:rsid w:val="00EB29B8"/>
    <w:rsid w:val="00EB473D"/>
    <w:rsid w:val="00EB4BA5"/>
    <w:rsid w:val="00EB4D6F"/>
    <w:rsid w:val="00EC0B18"/>
    <w:rsid w:val="00EC1AA9"/>
    <w:rsid w:val="00EC1C92"/>
    <w:rsid w:val="00EC310A"/>
    <w:rsid w:val="00EC340C"/>
    <w:rsid w:val="00EC469A"/>
    <w:rsid w:val="00EC575A"/>
    <w:rsid w:val="00EC69E0"/>
    <w:rsid w:val="00EC6CFC"/>
    <w:rsid w:val="00ED0A96"/>
    <w:rsid w:val="00ED1161"/>
    <w:rsid w:val="00ED28AC"/>
    <w:rsid w:val="00ED51EF"/>
    <w:rsid w:val="00ED6364"/>
    <w:rsid w:val="00ED6381"/>
    <w:rsid w:val="00ED6517"/>
    <w:rsid w:val="00ED6B77"/>
    <w:rsid w:val="00ED7E65"/>
    <w:rsid w:val="00ED7F2F"/>
    <w:rsid w:val="00EE01BA"/>
    <w:rsid w:val="00EE1049"/>
    <w:rsid w:val="00EE264C"/>
    <w:rsid w:val="00EE35A0"/>
    <w:rsid w:val="00EE428C"/>
    <w:rsid w:val="00EE46E7"/>
    <w:rsid w:val="00EE4916"/>
    <w:rsid w:val="00EE6A60"/>
    <w:rsid w:val="00EE6C39"/>
    <w:rsid w:val="00EF0589"/>
    <w:rsid w:val="00EF1533"/>
    <w:rsid w:val="00EF1A44"/>
    <w:rsid w:val="00EF1AF0"/>
    <w:rsid w:val="00EF1B03"/>
    <w:rsid w:val="00EF1FB8"/>
    <w:rsid w:val="00EF2EB7"/>
    <w:rsid w:val="00EF3973"/>
    <w:rsid w:val="00EF3F8B"/>
    <w:rsid w:val="00EF41A0"/>
    <w:rsid w:val="00EF43E8"/>
    <w:rsid w:val="00EF4555"/>
    <w:rsid w:val="00EF481A"/>
    <w:rsid w:val="00EF53CA"/>
    <w:rsid w:val="00EF6043"/>
    <w:rsid w:val="00EF66F4"/>
    <w:rsid w:val="00EF6C98"/>
    <w:rsid w:val="00EF6E97"/>
    <w:rsid w:val="00EF7689"/>
    <w:rsid w:val="00EF76EA"/>
    <w:rsid w:val="00EF7D1D"/>
    <w:rsid w:val="00F00C4D"/>
    <w:rsid w:val="00F05698"/>
    <w:rsid w:val="00F05F13"/>
    <w:rsid w:val="00F0604C"/>
    <w:rsid w:val="00F07D58"/>
    <w:rsid w:val="00F1095F"/>
    <w:rsid w:val="00F1158D"/>
    <w:rsid w:val="00F117A5"/>
    <w:rsid w:val="00F11870"/>
    <w:rsid w:val="00F12D84"/>
    <w:rsid w:val="00F13242"/>
    <w:rsid w:val="00F13D4D"/>
    <w:rsid w:val="00F14177"/>
    <w:rsid w:val="00F14D21"/>
    <w:rsid w:val="00F14F6C"/>
    <w:rsid w:val="00F15C6F"/>
    <w:rsid w:val="00F20601"/>
    <w:rsid w:val="00F210FE"/>
    <w:rsid w:val="00F213A1"/>
    <w:rsid w:val="00F24E9E"/>
    <w:rsid w:val="00F2503F"/>
    <w:rsid w:val="00F25C43"/>
    <w:rsid w:val="00F27F92"/>
    <w:rsid w:val="00F27FE6"/>
    <w:rsid w:val="00F30C5C"/>
    <w:rsid w:val="00F30C7A"/>
    <w:rsid w:val="00F30ED9"/>
    <w:rsid w:val="00F31DEC"/>
    <w:rsid w:val="00F32313"/>
    <w:rsid w:val="00F3254E"/>
    <w:rsid w:val="00F33862"/>
    <w:rsid w:val="00F3437A"/>
    <w:rsid w:val="00F35B02"/>
    <w:rsid w:val="00F400E8"/>
    <w:rsid w:val="00F412AC"/>
    <w:rsid w:val="00F421AA"/>
    <w:rsid w:val="00F430D8"/>
    <w:rsid w:val="00F43E96"/>
    <w:rsid w:val="00F43F1E"/>
    <w:rsid w:val="00F44136"/>
    <w:rsid w:val="00F446FE"/>
    <w:rsid w:val="00F44DF4"/>
    <w:rsid w:val="00F44E2D"/>
    <w:rsid w:val="00F45704"/>
    <w:rsid w:val="00F46129"/>
    <w:rsid w:val="00F4656D"/>
    <w:rsid w:val="00F5104F"/>
    <w:rsid w:val="00F52001"/>
    <w:rsid w:val="00F52015"/>
    <w:rsid w:val="00F53D1D"/>
    <w:rsid w:val="00F55624"/>
    <w:rsid w:val="00F55E32"/>
    <w:rsid w:val="00F562E2"/>
    <w:rsid w:val="00F56B3A"/>
    <w:rsid w:val="00F614EF"/>
    <w:rsid w:val="00F6193B"/>
    <w:rsid w:val="00F626D3"/>
    <w:rsid w:val="00F63E9A"/>
    <w:rsid w:val="00F6533A"/>
    <w:rsid w:val="00F65C8F"/>
    <w:rsid w:val="00F65DCB"/>
    <w:rsid w:val="00F66513"/>
    <w:rsid w:val="00F66CC3"/>
    <w:rsid w:val="00F67492"/>
    <w:rsid w:val="00F709E3"/>
    <w:rsid w:val="00F70A88"/>
    <w:rsid w:val="00F712F8"/>
    <w:rsid w:val="00F71656"/>
    <w:rsid w:val="00F71733"/>
    <w:rsid w:val="00F71BDF"/>
    <w:rsid w:val="00F73240"/>
    <w:rsid w:val="00F73445"/>
    <w:rsid w:val="00F76BDE"/>
    <w:rsid w:val="00F77B38"/>
    <w:rsid w:val="00F80A83"/>
    <w:rsid w:val="00F819C0"/>
    <w:rsid w:val="00F81A0A"/>
    <w:rsid w:val="00F81A3C"/>
    <w:rsid w:val="00F82778"/>
    <w:rsid w:val="00F82AB4"/>
    <w:rsid w:val="00F82AC4"/>
    <w:rsid w:val="00F877E0"/>
    <w:rsid w:val="00F87A2F"/>
    <w:rsid w:val="00F87E37"/>
    <w:rsid w:val="00F92F4E"/>
    <w:rsid w:val="00F940A5"/>
    <w:rsid w:val="00F95BDF"/>
    <w:rsid w:val="00F961F0"/>
    <w:rsid w:val="00F96866"/>
    <w:rsid w:val="00F979B2"/>
    <w:rsid w:val="00FA0341"/>
    <w:rsid w:val="00FA06CD"/>
    <w:rsid w:val="00FA0823"/>
    <w:rsid w:val="00FA1A24"/>
    <w:rsid w:val="00FA1E2C"/>
    <w:rsid w:val="00FA21A2"/>
    <w:rsid w:val="00FA2E78"/>
    <w:rsid w:val="00FA334B"/>
    <w:rsid w:val="00FA4EF7"/>
    <w:rsid w:val="00FA6672"/>
    <w:rsid w:val="00FA6C50"/>
    <w:rsid w:val="00FA7DFD"/>
    <w:rsid w:val="00FB02CB"/>
    <w:rsid w:val="00FB0585"/>
    <w:rsid w:val="00FB27E7"/>
    <w:rsid w:val="00FB2DA1"/>
    <w:rsid w:val="00FB3AF2"/>
    <w:rsid w:val="00FB5EE5"/>
    <w:rsid w:val="00FB60E6"/>
    <w:rsid w:val="00FC09B2"/>
    <w:rsid w:val="00FC09EF"/>
    <w:rsid w:val="00FC0F1A"/>
    <w:rsid w:val="00FC557A"/>
    <w:rsid w:val="00FC5C4B"/>
    <w:rsid w:val="00FC5E8B"/>
    <w:rsid w:val="00FC7884"/>
    <w:rsid w:val="00FC7E47"/>
    <w:rsid w:val="00FD0872"/>
    <w:rsid w:val="00FD1726"/>
    <w:rsid w:val="00FD1A56"/>
    <w:rsid w:val="00FD1C98"/>
    <w:rsid w:val="00FD297C"/>
    <w:rsid w:val="00FD2EFE"/>
    <w:rsid w:val="00FD381D"/>
    <w:rsid w:val="00FD3C89"/>
    <w:rsid w:val="00FD3C90"/>
    <w:rsid w:val="00FD3D13"/>
    <w:rsid w:val="00FD3E26"/>
    <w:rsid w:val="00FD3E34"/>
    <w:rsid w:val="00FD4222"/>
    <w:rsid w:val="00FD5D5B"/>
    <w:rsid w:val="00FD5FD1"/>
    <w:rsid w:val="00FD6284"/>
    <w:rsid w:val="00FD6B01"/>
    <w:rsid w:val="00FD6EA4"/>
    <w:rsid w:val="00FD706D"/>
    <w:rsid w:val="00FE0607"/>
    <w:rsid w:val="00FE070B"/>
    <w:rsid w:val="00FE0F13"/>
    <w:rsid w:val="00FE2065"/>
    <w:rsid w:val="00FE3290"/>
    <w:rsid w:val="00FE3CB4"/>
    <w:rsid w:val="00FE42BD"/>
    <w:rsid w:val="00FE50D1"/>
    <w:rsid w:val="00FE5FE1"/>
    <w:rsid w:val="00FE6627"/>
    <w:rsid w:val="00FE664F"/>
    <w:rsid w:val="00FE678C"/>
    <w:rsid w:val="00FE697F"/>
    <w:rsid w:val="00FE6DC6"/>
    <w:rsid w:val="00FF0182"/>
    <w:rsid w:val="00FF0251"/>
    <w:rsid w:val="00FF0428"/>
    <w:rsid w:val="00FF1E33"/>
    <w:rsid w:val="00FF1ECB"/>
    <w:rsid w:val="00FF1F2B"/>
    <w:rsid w:val="00FF21CB"/>
    <w:rsid w:val="00FF226F"/>
    <w:rsid w:val="00FF2A79"/>
    <w:rsid w:val="00FF2A89"/>
    <w:rsid w:val="00FF2B56"/>
    <w:rsid w:val="00FF64BE"/>
    <w:rsid w:val="00FF73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37347"/>
  <w15:docId w15:val="{8531598B-154F-4AC6-B240-64EDF480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ind w:left="1080"/>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360"/>
      <w:outlineLvl w:val="3"/>
    </w:pPr>
    <w:rPr>
      <w:u w:val="single"/>
    </w:rPr>
  </w:style>
  <w:style w:type="paragraph" w:styleId="Heading5">
    <w:name w:val="heading 5"/>
    <w:basedOn w:val="Normal"/>
    <w:next w:val="Normal"/>
    <w:qFormat/>
    <w:pPr>
      <w:keepNext/>
      <w:ind w:left="1440"/>
      <w:outlineLvl w:val="4"/>
    </w:pPr>
    <w:rPr>
      <w:u w:val="single"/>
    </w:rPr>
  </w:style>
  <w:style w:type="paragraph" w:styleId="Heading6">
    <w:name w:val="heading 6"/>
    <w:basedOn w:val="Normal"/>
    <w:next w:val="Normal"/>
    <w:link w:val="Heading6Char"/>
    <w:uiPriority w:val="9"/>
    <w:semiHidden/>
    <w:unhideWhenUsed/>
    <w:qFormat/>
    <w:rsid w:val="0024075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link w:val="Heading8Char"/>
    <w:uiPriority w:val="9"/>
    <w:unhideWhenUsed/>
    <w:qFormat/>
    <w:rsid w:val="00CD3C8A"/>
    <w:pPr>
      <w:keepNext/>
      <w:ind w:left="-97"/>
      <w:outlineLvl w:val="7"/>
    </w:pPr>
    <w:rPr>
      <w:rFonts w:ascii="Arial" w:hAnsi="Arial" w:cs="Arial"/>
      <w:sz w:val="16"/>
      <w:szCs w:val="22"/>
    </w:rPr>
  </w:style>
  <w:style w:type="paragraph" w:styleId="Heading9">
    <w:name w:val="heading 9"/>
    <w:basedOn w:val="Normal"/>
    <w:next w:val="Normal"/>
    <w:link w:val="Heading9Char"/>
    <w:uiPriority w:val="9"/>
    <w:unhideWhenUsed/>
    <w:qFormat/>
    <w:rsid w:val="00CD3C8A"/>
    <w:pPr>
      <w:keepNext/>
      <w:ind w:left="-109"/>
      <w:jc w:val="left"/>
      <w:outlineLvl w:val="8"/>
    </w:pPr>
    <w:rPr>
      <w:rFonts w:ascii="Arial" w:hAnsi="Arial" w:cs="Arial"/>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pPr>
      <w:ind w:left="1080"/>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7D7568"/>
    <w:pPr>
      <w:tabs>
        <w:tab w:val="left" w:pos="1526"/>
      </w:tabs>
    </w:pPr>
    <w:rPr>
      <w:rFonts w:ascii="Arial" w:hAnsi="Arial" w:cs="Arial"/>
      <w:sz w:val="22"/>
      <w:szCs w:val="22"/>
    </w:rPr>
  </w:style>
  <w:style w:type="paragraph" w:styleId="BodyTextIndent">
    <w:name w:val="Body Text Indent"/>
    <w:basedOn w:val="Normal"/>
    <w:link w:val="BodyTextIndentChar"/>
    <w:semiHidden/>
    <w:pPr>
      <w:ind w:left="1080"/>
    </w:pPr>
  </w:style>
  <w:style w:type="paragraph" w:styleId="IndexHeading">
    <w:name w:val="index heading"/>
    <w:basedOn w:val="Normal"/>
    <w:next w:val="Index1"/>
    <w:semiHidden/>
  </w:style>
  <w:style w:type="paragraph" w:styleId="Index1">
    <w:name w:val="index 1"/>
    <w:basedOn w:val="Normal"/>
    <w:next w:val="Normal"/>
    <w:autoRedefine/>
    <w:semiHidden/>
    <w:pPr>
      <w:ind w:left="240" w:hanging="240"/>
    </w:pPr>
  </w:style>
  <w:style w:type="paragraph" w:styleId="BodyTextIndent3">
    <w:name w:val="Body Text Indent 3"/>
    <w:basedOn w:val="Normal"/>
    <w:semiHidden/>
    <w:pPr>
      <w:ind w:left="1440" w:firstLine="720"/>
    </w:pPr>
  </w:style>
  <w:style w:type="paragraph" w:styleId="BodyText">
    <w:name w:val="Body Text"/>
    <w:basedOn w:val="Normal"/>
    <w:semiHidden/>
    <w:rPr>
      <w:b/>
      <w:bCs/>
    </w:rPr>
  </w:style>
  <w:style w:type="character" w:styleId="PageNumber">
    <w:name w:val="page number"/>
    <w:basedOn w:val="DefaultParagraphFont"/>
    <w:semiHidden/>
  </w:style>
  <w:style w:type="paragraph" w:styleId="BodyText2">
    <w:name w:val="Body Text 2"/>
    <w:basedOn w:val="Normal"/>
    <w:semiHidden/>
  </w:style>
  <w:style w:type="paragraph" w:styleId="NoSpacing">
    <w:name w:val="No Spacing"/>
    <w:uiPriority w:val="1"/>
    <w:qFormat/>
    <w:pPr>
      <w:jc w:val="both"/>
    </w:pPr>
    <w:rPr>
      <w:rFonts w:ascii="Calibri" w:eastAsia="Calibri" w:hAnsi="Calibri"/>
      <w:sz w:val="22"/>
      <w:szCs w:val="22"/>
      <w:lang w:val="en-US" w:eastAsia="en-US"/>
    </w:rPr>
  </w:style>
  <w:style w:type="paragraph" w:styleId="Header">
    <w:name w:val="header"/>
    <w:basedOn w:val="Normal"/>
    <w:link w:val="HeaderChar"/>
    <w:uiPriority w:val="99"/>
    <w:unhideWhenUsed/>
    <w:rsid w:val="00E61593"/>
    <w:pPr>
      <w:tabs>
        <w:tab w:val="center" w:pos="4680"/>
        <w:tab w:val="right" w:pos="9360"/>
      </w:tabs>
    </w:pPr>
  </w:style>
  <w:style w:type="character" w:customStyle="1" w:styleId="HeaderChar">
    <w:name w:val="Header Char"/>
    <w:link w:val="Header"/>
    <w:uiPriority w:val="99"/>
    <w:rsid w:val="00E61593"/>
    <w:rPr>
      <w:sz w:val="24"/>
      <w:szCs w:val="24"/>
      <w:lang w:val="en-US" w:eastAsia="en-US"/>
    </w:rPr>
  </w:style>
  <w:style w:type="paragraph" w:styleId="BalloonText">
    <w:name w:val="Balloon Text"/>
    <w:basedOn w:val="Normal"/>
    <w:link w:val="BalloonTextChar"/>
    <w:uiPriority w:val="99"/>
    <w:semiHidden/>
    <w:unhideWhenUsed/>
    <w:rsid w:val="000B3835"/>
    <w:rPr>
      <w:rFonts w:ascii="Tahoma" w:hAnsi="Tahoma"/>
      <w:sz w:val="16"/>
      <w:szCs w:val="16"/>
      <w:lang w:val="x-none" w:eastAsia="x-none"/>
    </w:rPr>
  </w:style>
  <w:style w:type="character" w:customStyle="1" w:styleId="BalloonTextChar">
    <w:name w:val="Balloon Text Char"/>
    <w:link w:val="BalloonText"/>
    <w:uiPriority w:val="99"/>
    <w:semiHidden/>
    <w:rsid w:val="000B3835"/>
    <w:rPr>
      <w:rFonts w:ascii="Tahoma" w:hAnsi="Tahoma" w:cs="Tahoma"/>
      <w:sz w:val="16"/>
      <w:szCs w:val="16"/>
    </w:rPr>
  </w:style>
  <w:style w:type="table" w:styleId="TableGrid">
    <w:name w:val="Table Grid"/>
    <w:basedOn w:val="TableNormal"/>
    <w:uiPriority w:val="39"/>
    <w:rsid w:val="0025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B37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2Char">
    <w:name w:val="Body Text Indent 2 Char"/>
    <w:link w:val="BodyTextIndent2"/>
    <w:semiHidden/>
    <w:rsid w:val="00FA1A24"/>
    <w:rPr>
      <w:sz w:val="24"/>
      <w:szCs w:val="24"/>
      <w:lang w:val="en-US" w:eastAsia="en-US"/>
    </w:rPr>
  </w:style>
  <w:style w:type="character" w:styleId="CommentReference">
    <w:name w:val="annotation reference"/>
    <w:basedOn w:val="DefaultParagraphFont"/>
    <w:uiPriority w:val="99"/>
    <w:semiHidden/>
    <w:unhideWhenUsed/>
    <w:rsid w:val="000F3CE3"/>
    <w:rPr>
      <w:sz w:val="16"/>
      <w:szCs w:val="16"/>
    </w:rPr>
  </w:style>
  <w:style w:type="paragraph" w:styleId="CommentText">
    <w:name w:val="annotation text"/>
    <w:basedOn w:val="Normal"/>
    <w:link w:val="CommentTextChar"/>
    <w:uiPriority w:val="99"/>
    <w:unhideWhenUsed/>
    <w:rsid w:val="000F3CE3"/>
    <w:rPr>
      <w:sz w:val="20"/>
      <w:szCs w:val="20"/>
    </w:rPr>
  </w:style>
  <w:style w:type="character" w:customStyle="1" w:styleId="CommentTextChar">
    <w:name w:val="Comment Text Char"/>
    <w:basedOn w:val="DefaultParagraphFont"/>
    <w:link w:val="CommentText"/>
    <w:uiPriority w:val="99"/>
    <w:rsid w:val="000F3CE3"/>
    <w:rPr>
      <w:lang w:val="en-US" w:eastAsia="en-US"/>
    </w:rPr>
  </w:style>
  <w:style w:type="paragraph" w:styleId="CommentSubject">
    <w:name w:val="annotation subject"/>
    <w:basedOn w:val="CommentText"/>
    <w:next w:val="CommentText"/>
    <w:link w:val="CommentSubjectChar"/>
    <w:uiPriority w:val="99"/>
    <w:semiHidden/>
    <w:unhideWhenUsed/>
    <w:rsid w:val="000F3CE3"/>
    <w:rPr>
      <w:b/>
      <w:bCs/>
    </w:rPr>
  </w:style>
  <w:style w:type="character" w:customStyle="1" w:styleId="CommentSubjectChar">
    <w:name w:val="Comment Subject Char"/>
    <w:basedOn w:val="CommentTextChar"/>
    <w:link w:val="CommentSubject"/>
    <w:uiPriority w:val="99"/>
    <w:semiHidden/>
    <w:rsid w:val="000F3CE3"/>
    <w:rPr>
      <w:b/>
      <w:bCs/>
      <w:lang w:val="en-US" w:eastAsia="en-US"/>
    </w:rPr>
  </w:style>
  <w:style w:type="character" w:customStyle="1" w:styleId="Heading6Char">
    <w:name w:val="Heading 6 Char"/>
    <w:basedOn w:val="DefaultParagraphFont"/>
    <w:link w:val="Heading6"/>
    <w:uiPriority w:val="9"/>
    <w:semiHidden/>
    <w:rsid w:val="00240756"/>
    <w:rPr>
      <w:rFonts w:asciiTheme="majorHAnsi" w:eastAsiaTheme="majorEastAsia" w:hAnsiTheme="majorHAnsi" w:cstheme="majorBidi"/>
      <w:color w:val="1F4D78" w:themeColor="accent1" w:themeShade="7F"/>
      <w:sz w:val="24"/>
      <w:szCs w:val="24"/>
      <w:lang w:val="en-US" w:eastAsia="en-US"/>
    </w:rPr>
  </w:style>
  <w:style w:type="numbering" w:customStyle="1" w:styleId="Style1">
    <w:name w:val="Style1"/>
    <w:uiPriority w:val="99"/>
    <w:rsid w:val="001B74D6"/>
    <w:pPr>
      <w:numPr>
        <w:numId w:val="3"/>
      </w:numPr>
    </w:pPr>
  </w:style>
  <w:style w:type="character" w:customStyle="1" w:styleId="BodyTextIndentChar">
    <w:name w:val="Body Text Indent Char"/>
    <w:basedOn w:val="DefaultParagraphFont"/>
    <w:link w:val="BodyTextIndent"/>
    <w:semiHidden/>
    <w:rsid w:val="00723693"/>
    <w:rPr>
      <w:sz w:val="24"/>
      <w:szCs w:val="24"/>
      <w:lang w:val="en-US" w:eastAsia="en-US"/>
    </w:rPr>
  </w:style>
  <w:style w:type="paragraph" w:styleId="NormalWeb">
    <w:name w:val="Normal (Web)"/>
    <w:basedOn w:val="Normal"/>
    <w:uiPriority w:val="99"/>
    <w:unhideWhenUsed/>
    <w:rsid w:val="00442895"/>
    <w:pPr>
      <w:spacing w:before="100" w:beforeAutospacing="1" w:after="100" w:afterAutospacing="1"/>
      <w:jc w:val="left"/>
    </w:pPr>
    <w:rPr>
      <w:lang w:val="en-PH"/>
    </w:rPr>
  </w:style>
  <w:style w:type="paragraph" w:styleId="Revision">
    <w:name w:val="Revision"/>
    <w:hidden/>
    <w:uiPriority w:val="99"/>
    <w:semiHidden/>
    <w:rsid w:val="00696CFF"/>
    <w:rPr>
      <w:sz w:val="24"/>
      <w:szCs w:val="24"/>
      <w:lang w:val="en-US" w:eastAsia="en-US"/>
    </w:rPr>
  </w:style>
  <w:style w:type="paragraph" w:styleId="BodyText3">
    <w:name w:val="Body Text 3"/>
    <w:basedOn w:val="Normal"/>
    <w:link w:val="BodyText3Char"/>
    <w:uiPriority w:val="99"/>
    <w:unhideWhenUsed/>
    <w:rsid w:val="00850F2C"/>
    <w:pPr>
      <w:tabs>
        <w:tab w:val="left" w:pos="8550"/>
      </w:tabs>
    </w:pPr>
    <w:rPr>
      <w:rFonts w:ascii="Arial" w:hAnsi="Arial" w:cs="Arial"/>
      <w:bCs/>
      <w:sz w:val="22"/>
      <w:szCs w:val="22"/>
    </w:rPr>
  </w:style>
  <w:style w:type="character" w:customStyle="1" w:styleId="BodyText3Char">
    <w:name w:val="Body Text 3 Char"/>
    <w:basedOn w:val="DefaultParagraphFont"/>
    <w:link w:val="BodyText3"/>
    <w:uiPriority w:val="99"/>
    <w:rsid w:val="00850F2C"/>
    <w:rPr>
      <w:rFonts w:ascii="Arial" w:hAnsi="Arial" w:cs="Arial"/>
      <w:bCs/>
      <w:sz w:val="22"/>
      <w:szCs w:val="22"/>
      <w:lang w:val="en-US" w:eastAsia="en-US"/>
    </w:rPr>
  </w:style>
  <w:style w:type="character" w:customStyle="1" w:styleId="Heading8Char">
    <w:name w:val="Heading 8 Char"/>
    <w:basedOn w:val="DefaultParagraphFont"/>
    <w:link w:val="Heading8"/>
    <w:uiPriority w:val="9"/>
    <w:rsid w:val="00CD3C8A"/>
    <w:rPr>
      <w:rFonts w:ascii="Arial" w:hAnsi="Arial" w:cs="Arial"/>
      <w:sz w:val="16"/>
      <w:szCs w:val="22"/>
      <w:lang w:val="en-US" w:eastAsia="en-US"/>
    </w:rPr>
  </w:style>
  <w:style w:type="character" w:customStyle="1" w:styleId="Heading9Char">
    <w:name w:val="Heading 9 Char"/>
    <w:basedOn w:val="DefaultParagraphFont"/>
    <w:link w:val="Heading9"/>
    <w:uiPriority w:val="9"/>
    <w:rsid w:val="00CD3C8A"/>
    <w:rPr>
      <w:rFonts w:ascii="Arial" w:hAnsi="Arial" w:cs="Arial"/>
      <w:bCs/>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301">
      <w:bodyDiv w:val="1"/>
      <w:marLeft w:val="0"/>
      <w:marRight w:val="0"/>
      <w:marTop w:val="0"/>
      <w:marBottom w:val="0"/>
      <w:divBdr>
        <w:top w:val="none" w:sz="0" w:space="0" w:color="auto"/>
        <w:left w:val="none" w:sz="0" w:space="0" w:color="auto"/>
        <w:bottom w:val="none" w:sz="0" w:space="0" w:color="auto"/>
        <w:right w:val="none" w:sz="0" w:space="0" w:color="auto"/>
      </w:divBdr>
    </w:div>
    <w:div w:id="38820432">
      <w:bodyDiv w:val="1"/>
      <w:marLeft w:val="0"/>
      <w:marRight w:val="0"/>
      <w:marTop w:val="0"/>
      <w:marBottom w:val="0"/>
      <w:divBdr>
        <w:top w:val="none" w:sz="0" w:space="0" w:color="auto"/>
        <w:left w:val="none" w:sz="0" w:space="0" w:color="auto"/>
        <w:bottom w:val="none" w:sz="0" w:space="0" w:color="auto"/>
        <w:right w:val="none" w:sz="0" w:space="0" w:color="auto"/>
      </w:divBdr>
    </w:div>
    <w:div w:id="42949763">
      <w:bodyDiv w:val="1"/>
      <w:marLeft w:val="0"/>
      <w:marRight w:val="0"/>
      <w:marTop w:val="0"/>
      <w:marBottom w:val="0"/>
      <w:divBdr>
        <w:top w:val="none" w:sz="0" w:space="0" w:color="auto"/>
        <w:left w:val="none" w:sz="0" w:space="0" w:color="auto"/>
        <w:bottom w:val="none" w:sz="0" w:space="0" w:color="auto"/>
        <w:right w:val="none" w:sz="0" w:space="0" w:color="auto"/>
      </w:divBdr>
    </w:div>
    <w:div w:id="67044990">
      <w:bodyDiv w:val="1"/>
      <w:marLeft w:val="0"/>
      <w:marRight w:val="0"/>
      <w:marTop w:val="0"/>
      <w:marBottom w:val="0"/>
      <w:divBdr>
        <w:top w:val="none" w:sz="0" w:space="0" w:color="auto"/>
        <w:left w:val="none" w:sz="0" w:space="0" w:color="auto"/>
        <w:bottom w:val="none" w:sz="0" w:space="0" w:color="auto"/>
        <w:right w:val="none" w:sz="0" w:space="0" w:color="auto"/>
      </w:divBdr>
    </w:div>
    <w:div w:id="80682560">
      <w:bodyDiv w:val="1"/>
      <w:marLeft w:val="0"/>
      <w:marRight w:val="0"/>
      <w:marTop w:val="0"/>
      <w:marBottom w:val="0"/>
      <w:divBdr>
        <w:top w:val="none" w:sz="0" w:space="0" w:color="auto"/>
        <w:left w:val="none" w:sz="0" w:space="0" w:color="auto"/>
        <w:bottom w:val="none" w:sz="0" w:space="0" w:color="auto"/>
        <w:right w:val="none" w:sz="0" w:space="0" w:color="auto"/>
      </w:divBdr>
    </w:div>
    <w:div w:id="130563490">
      <w:bodyDiv w:val="1"/>
      <w:marLeft w:val="0"/>
      <w:marRight w:val="0"/>
      <w:marTop w:val="0"/>
      <w:marBottom w:val="0"/>
      <w:divBdr>
        <w:top w:val="none" w:sz="0" w:space="0" w:color="auto"/>
        <w:left w:val="none" w:sz="0" w:space="0" w:color="auto"/>
        <w:bottom w:val="none" w:sz="0" w:space="0" w:color="auto"/>
        <w:right w:val="none" w:sz="0" w:space="0" w:color="auto"/>
      </w:divBdr>
    </w:div>
    <w:div w:id="225654975">
      <w:bodyDiv w:val="1"/>
      <w:marLeft w:val="0"/>
      <w:marRight w:val="0"/>
      <w:marTop w:val="0"/>
      <w:marBottom w:val="0"/>
      <w:divBdr>
        <w:top w:val="none" w:sz="0" w:space="0" w:color="auto"/>
        <w:left w:val="none" w:sz="0" w:space="0" w:color="auto"/>
        <w:bottom w:val="none" w:sz="0" w:space="0" w:color="auto"/>
        <w:right w:val="none" w:sz="0" w:space="0" w:color="auto"/>
      </w:divBdr>
    </w:div>
    <w:div w:id="241374052">
      <w:bodyDiv w:val="1"/>
      <w:marLeft w:val="0"/>
      <w:marRight w:val="0"/>
      <w:marTop w:val="0"/>
      <w:marBottom w:val="0"/>
      <w:divBdr>
        <w:top w:val="none" w:sz="0" w:space="0" w:color="auto"/>
        <w:left w:val="none" w:sz="0" w:space="0" w:color="auto"/>
        <w:bottom w:val="none" w:sz="0" w:space="0" w:color="auto"/>
        <w:right w:val="none" w:sz="0" w:space="0" w:color="auto"/>
      </w:divBdr>
    </w:div>
    <w:div w:id="304896204">
      <w:bodyDiv w:val="1"/>
      <w:marLeft w:val="0"/>
      <w:marRight w:val="0"/>
      <w:marTop w:val="0"/>
      <w:marBottom w:val="0"/>
      <w:divBdr>
        <w:top w:val="none" w:sz="0" w:space="0" w:color="auto"/>
        <w:left w:val="none" w:sz="0" w:space="0" w:color="auto"/>
        <w:bottom w:val="none" w:sz="0" w:space="0" w:color="auto"/>
        <w:right w:val="none" w:sz="0" w:space="0" w:color="auto"/>
      </w:divBdr>
    </w:div>
    <w:div w:id="340668976">
      <w:bodyDiv w:val="1"/>
      <w:marLeft w:val="0"/>
      <w:marRight w:val="0"/>
      <w:marTop w:val="0"/>
      <w:marBottom w:val="0"/>
      <w:divBdr>
        <w:top w:val="none" w:sz="0" w:space="0" w:color="auto"/>
        <w:left w:val="none" w:sz="0" w:space="0" w:color="auto"/>
        <w:bottom w:val="none" w:sz="0" w:space="0" w:color="auto"/>
        <w:right w:val="none" w:sz="0" w:space="0" w:color="auto"/>
      </w:divBdr>
    </w:div>
    <w:div w:id="408117206">
      <w:bodyDiv w:val="1"/>
      <w:marLeft w:val="0"/>
      <w:marRight w:val="0"/>
      <w:marTop w:val="0"/>
      <w:marBottom w:val="0"/>
      <w:divBdr>
        <w:top w:val="none" w:sz="0" w:space="0" w:color="auto"/>
        <w:left w:val="none" w:sz="0" w:space="0" w:color="auto"/>
        <w:bottom w:val="none" w:sz="0" w:space="0" w:color="auto"/>
        <w:right w:val="none" w:sz="0" w:space="0" w:color="auto"/>
      </w:divBdr>
    </w:div>
    <w:div w:id="449784583">
      <w:bodyDiv w:val="1"/>
      <w:marLeft w:val="0"/>
      <w:marRight w:val="0"/>
      <w:marTop w:val="0"/>
      <w:marBottom w:val="0"/>
      <w:divBdr>
        <w:top w:val="none" w:sz="0" w:space="0" w:color="auto"/>
        <w:left w:val="none" w:sz="0" w:space="0" w:color="auto"/>
        <w:bottom w:val="none" w:sz="0" w:space="0" w:color="auto"/>
        <w:right w:val="none" w:sz="0" w:space="0" w:color="auto"/>
      </w:divBdr>
    </w:div>
    <w:div w:id="452099166">
      <w:bodyDiv w:val="1"/>
      <w:marLeft w:val="0"/>
      <w:marRight w:val="0"/>
      <w:marTop w:val="0"/>
      <w:marBottom w:val="0"/>
      <w:divBdr>
        <w:top w:val="none" w:sz="0" w:space="0" w:color="auto"/>
        <w:left w:val="none" w:sz="0" w:space="0" w:color="auto"/>
        <w:bottom w:val="none" w:sz="0" w:space="0" w:color="auto"/>
        <w:right w:val="none" w:sz="0" w:space="0" w:color="auto"/>
      </w:divBdr>
    </w:div>
    <w:div w:id="572005982">
      <w:bodyDiv w:val="1"/>
      <w:marLeft w:val="0"/>
      <w:marRight w:val="0"/>
      <w:marTop w:val="0"/>
      <w:marBottom w:val="0"/>
      <w:divBdr>
        <w:top w:val="none" w:sz="0" w:space="0" w:color="auto"/>
        <w:left w:val="none" w:sz="0" w:space="0" w:color="auto"/>
        <w:bottom w:val="none" w:sz="0" w:space="0" w:color="auto"/>
        <w:right w:val="none" w:sz="0" w:space="0" w:color="auto"/>
      </w:divBdr>
    </w:div>
    <w:div w:id="574439967">
      <w:bodyDiv w:val="1"/>
      <w:marLeft w:val="0"/>
      <w:marRight w:val="0"/>
      <w:marTop w:val="0"/>
      <w:marBottom w:val="0"/>
      <w:divBdr>
        <w:top w:val="none" w:sz="0" w:space="0" w:color="auto"/>
        <w:left w:val="none" w:sz="0" w:space="0" w:color="auto"/>
        <w:bottom w:val="none" w:sz="0" w:space="0" w:color="auto"/>
        <w:right w:val="none" w:sz="0" w:space="0" w:color="auto"/>
      </w:divBdr>
    </w:div>
    <w:div w:id="577059044">
      <w:bodyDiv w:val="1"/>
      <w:marLeft w:val="0"/>
      <w:marRight w:val="0"/>
      <w:marTop w:val="0"/>
      <w:marBottom w:val="0"/>
      <w:divBdr>
        <w:top w:val="none" w:sz="0" w:space="0" w:color="auto"/>
        <w:left w:val="none" w:sz="0" w:space="0" w:color="auto"/>
        <w:bottom w:val="none" w:sz="0" w:space="0" w:color="auto"/>
        <w:right w:val="none" w:sz="0" w:space="0" w:color="auto"/>
      </w:divBdr>
    </w:div>
    <w:div w:id="611672690">
      <w:bodyDiv w:val="1"/>
      <w:marLeft w:val="0"/>
      <w:marRight w:val="0"/>
      <w:marTop w:val="0"/>
      <w:marBottom w:val="0"/>
      <w:divBdr>
        <w:top w:val="none" w:sz="0" w:space="0" w:color="auto"/>
        <w:left w:val="none" w:sz="0" w:space="0" w:color="auto"/>
        <w:bottom w:val="none" w:sz="0" w:space="0" w:color="auto"/>
        <w:right w:val="none" w:sz="0" w:space="0" w:color="auto"/>
      </w:divBdr>
    </w:div>
    <w:div w:id="613514194">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51258321">
      <w:bodyDiv w:val="1"/>
      <w:marLeft w:val="0"/>
      <w:marRight w:val="0"/>
      <w:marTop w:val="0"/>
      <w:marBottom w:val="0"/>
      <w:divBdr>
        <w:top w:val="none" w:sz="0" w:space="0" w:color="auto"/>
        <w:left w:val="none" w:sz="0" w:space="0" w:color="auto"/>
        <w:bottom w:val="none" w:sz="0" w:space="0" w:color="auto"/>
        <w:right w:val="none" w:sz="0" w:space="0" w:color="auto"/>
      </w:divBdr>
    </w:div>
    <w:div w:id="664627041">
      <w:bodyDiv w:val="1"/>
      <w:marLeft w:val="0"/>
      <w:marRight w:val="0"/>
      <w:marTop w:val="0"/>
      <w:marBottom w:val="0"/>
      <w:divBdr>
        <w:top w:val="none" w:sz="0" w:space="0" w:color="auto"/>
        <w:left w:val="none" w:sz="0" w:space="0" w:color="auto"/>
        <w:bottom w:val="none" w:sz="0" w:space="0" w:color="auto"/>
        <w:right w:val="none" w:sz="0" w:space="0" w:color="auto"/>
      </w:divBdr>
    </w:div>
    <w:div w:id="666859443">
      <w:bodyDiv w:val="1"/>
      <w:marLeft w:val="0"/>
      <w:marRight w:val="0"/>
      <w:marTop w:val="0"/>
      <w:marBottom w:val="0"/>
      <w:divBdr>
        <w:top w:val="none" w:sz="0" w:space="0" w:color="auto"/>
        <w:left w:val="none" w:sz="0" w:space="0" w:color="auto"/>
        <w:bottom w:val="none" w:sz="0" w:space="0" w:color="auto"/>
        <w:right w:val="none" w:sz="0" w:space="0" w:color="auto"/>
      </w:divBdr>
    </w:div>
    <w:div w:id="722020557">
      <w:bodyDiv w:val="1"/>
      <w:marLeft w:val="0"/>
      <w:marRight w:val="0"/>
      <w:marTop w:val="0"/>
      <w:marBottom w:val="0"/>
      <w:divBdr>
        <w:top w:val="none" w:sz="0" w:space="0" w:color="auto"/>
        <w:left w:val="none" w:sz="0" w:space="0" w:color="auto"/>
        <w:bottom w:val="none" w:sz="0" w:space="0" w:color="auto"/>
        <w:right w:val="none" w:sz="0" w:space="0" w:color="auto"/>
      </w:divBdr>
    </w:div>
    <w:div w:id="740373594">
      <w:bodyDiv w:val="1"/>
      <w:marLeft w:val="0"/>
      <w:marRight w:val="0"/>
      <w:marTop w:val="0"/>
      <w:marBottom w:val="0"/>
      <w:divBdr>
        <w:top w:val="none" w:sz="0" w:space="0" w:color="auto"/>
        <w:left w:val="none" w:sz="0" w:space="0" w:color="auto"/>
        <w:bottom w:val="none" w:sz="0" w:space="0" w:color="auto"/>
        <w:right w:val="none" w:sz="0" w:space="0" w:color="auto"/>
      </w:divBdr>
    </w:div>
    <w:div w:id="741411422">
      <w:bodyDiv w:val="1"/>
      <w:marLeft w:val="0"/>
      <w:marRight w:val="0"/>
      <w:marTop w:val="0"/>
      <w:marBottom w:val="0"/>
      <w:divBdr>
        <w:top w:val="none" w:sz="0" w:space="0" w:color="auto"/>
        <w:left w:val="none" w:sz="0" w:space="0" w:color="auto"/>
        <w:bottom w:val="none" w:sz="0" w:space="0" w:color="auto"/>
        <w:right w:val="none" w:sz="0" w:space="0" w:color="auto"/>
      </w:divBdr>
    </w:div>
    <w:div w:id="767503228">
      <w:bodyDiv w:val="1"/>
      <w:marLeft w:val="0"/>
      <w:marRight w:val="0"/>
      <w:marTop w:val="0"/>
      <w:marBottom w:val="0"/>
      <w:divBdr>
        <w:top w:val="none" w:sz="0" w:space="0" w:color="auto"/>
        <w:left w:val="none" w:sz="0" w:space="0" w:color="auto"/>
        <w:bottom w:val="none" w:sz="0" w:space="0" w:color="auto"/>
        <w:right w:val="none" w:sz="0" w:space="0" w:color="auto"/>
      </w:divBdr>
    </w:div>
    <w:div w:id="800808207">
      <w:bodyDiv w:val="1"/>
      <w:marLeft w:val="0"/>
      <w:marRight w:val="0"/>
      <w:marTop w:val="0"/>
      <w:marBottom w:val="0"/>
      <w:divBdr>
        <w:top w:val="none" w:sz="0" w:space="0" w:color="auto"/>
        <w:left w:val="none" w:sz="0" w:space="0" w:color="auto"/>
        <w:bottom w:val="none" w:sz="0" w:space="0" w:color="auto"/>
        <w:right w:val="none" w:sz="0" w:space="0" w:color="auto"/>
      </w:divBdr>
    </w:div>
    <w:div w:id="853417399">
      <w:bodyDiv w:val="1"/>
      <w:marLeft w:val="0"/>
      <w:marRight w:val="0"/>
      <w:marTop w:val="0"/>
      <w:marBottom w:val="0"/>
      <w:divBdr>
        <w:top w:val="none" w:sz="0" w:space="0" w:color="auto"/>
        <w:left w:val="none" w:sz="0" w:space="0" w:color="auto"/>
        <w:bottom w:val="none" w:sz="0" w:space="0" w:color="auto"/>
        <w:right w:val="none" w:sz="0" w:space="0" w:color="auto"/>
      </w:divBdr>
    </w:div>
    <w:div w:id="856116505">
      <w:bodyDiv w:val="1"/>
      <w:marLeft w:val="0"/>
      <w:marRight w:val="0"/>
      <w:marTop w:val="0"/>
      <w:marBottom w:val="0"/>
      <w:divBdr>
        <w:top w:val="none" w:sz="0" w:space="0" w:color="auto"/>
        <w:left w:val="none" w:sz="0" w:space="0" w:color="auto"/>
        <w:bottom w:val="none" w:sz="0" w:space="0" w:color="auto"/>
        <w:right w:val="none" w:sz="0" w:space="0" w:color="auto"/>
      </w:divBdr>
    </w:div>
    <w:div w:id="859970359">
      <w:bodyDiv w:val="1"/>
      <w:marLeft w:val="0"/>
      <w:marRight w:val="0"/>
      <w:marTop w:val="0"/>
      <w:marBottom w:val="0"/>
      <w:divBdr>
        <w:top w:val="none" w:sz="0" w:space="0" w:color="auto"/>
        <w:left w:val="none" w:sz="0" w:space="0" w:color="auto"/>
        <w:bottom w:val="none" w:sz="0" w:space="0" w:color="auto"/>
        <w:right w:val="none" w:sz="0" w:space="0" w:color="auto"/>
      </w:divBdr>
    </w:div>
    <w:div w:id="873883975">
      <w:bodyDiv w:val="1"/>
      <w:marLeft w:val="0"/>
      <w:marRight w:val="0"/>
      <w:marTop w:val="0"/>
      <w:marBottom w:val="0"/>
      <w:divBdr>
        <w:top w:val="none" w:sz="0" w:space="0" w:color="auto"/>
        <w:left w:val="none" w:sz="0" w:space="0" w:color="auto"/>
        <w:bottom w:val="none" w:sz="0" w:space="0" w:color="auto"/>
        <w:right w:val="none" w:sz="0" w:space="0" w:color="auto"/>
      </w:divBdr>
    </w:div>
    <w:div w:id="889849671">
      <w:bodyDiv w:val="1"/>
      <w:marLeft w:val="0"/>
      <w:marRight w:val="0"/>
      <w:marTop w:val="0"/>
      <w:marBottom w:val="0"/>
      <w:divBdr>
        <w:top w:val="none" w:sz="0" w:space="0" w:color="auto"/>
        <w:left w:val="none" w:sz="0" w:space="0" w:color="auto"/>
        <w:bottom w:val="none" w:sz="0" w:space="0" w:color="auto"/>
        <w:right w:val="none" w:sz="0" w:space="0" w:color="auto"/>
      </w:divBdr>
    </w:div>
    <w:div w:id="897856720">
      <w:bodyDiv w:val="1"/>
      <w:marLeft w:val="0"/>
      <w:marRight w:val="0"/>
      <w:marTop w:val="0"/>
      <w:marBottom w:val="0"/>
      <w:divBdr>
        <w:top w:val="none" w:sz="0" w:space="0" w:color="auto"/>
        <w:left w:val="none" w:sz="0" w:space="0" w:color="auto"/>
        <w:bottom w:val="none" w:sz="0" w:space="0" w:color="auto"/>
        <w:right w:val="none" w:sz="0" w:space="0" w:color="auto"/>
      </w:divBdr>
    </w:div>
    <w:div w:id="899481875">
      <w:bodyDiv w:val="1"/>
      <w:marLeft w:val="0"/>
      <w:marRight w:val="0"/>
      <w:marTop w:val="0"/>
      <w:marBottom w:val="0"/>
      <w:divBdr>
        <w:top w:val="none" w:sz="0" w:space="0" w:color="auto"/>
        <w:left w:val="none" w:sz="0" w:space="0" w:color="auto"/>
        <w:bottom w:val="none" w:sz="0" w:space="0" w:color="auto"/>
        <w:right w:val="none" w:sz="0" w:space="0" w:color="auto"/>
      </w:divBdr>
    </w:div>
    <w:div w:id="927999297">
      <w:bodyDiv w:val="1"/>
      <w:marLeft w:val="0"/>
      <w:marRight w:val="0"/>
      <w:marTop w:val="0"/>
      <w:marBottom w:val="0"/>
      <w:divBdr>
        <w:top w:val="none" w:sz="0" w:space="0" w:color="auto"/>
        <w:left w:val="none" w:sz="0" w:space="0" w:color="auto"/>
        <w:bottom w:val="none" w:sz="0" w:space="0" w:color="auto"/>
        <w:right w:val="none" w:sz="0" w:space="0" w:color="auto"/>
      </w:divBdr>
    </w:div>
    <w:div w:id="941450809">
      <w:bodyDiv w:val="1"/>
      <w:marLeft w:val="0"/>
      <w:marRight w:val="0"/>
      <w:marTop w:val="0"/>
      <w:marBottom w:val="0"/>
      <w:divBdr>
        <w:top w:val="none" w:sz="0" w:space="0" w:color="auto"/>
        <w:left w:val="none" w:sz="0" w:space="0" w:color="auto"/>
        <w:bottom w:val="none" w:sz="0" w:space="0" w:color="auto"/>
        <w:right w:val="none" w:sz="0" w:space="0" w:color="auto"/>
      </w:divBdr>
    </w:div>
    <w:div w:id="957419313">
      <w:bodyDiv w:val="1"/>
      <w:marLeft w:val="0"/>
      <w:marRight w:val="0"/>
      <w:marTop w:val="0"/>
      <w:marBottom w:val="0"/>
      <w:divBdr>
        <w:top w:val="none" w:sz="0" w:space="0" w:color="auto"/>
        <w:left w:val="none" w:sz="0" w:space="0" w:color="auto"/>
        <w:bottom w:val="none" w:sz="0" w:space="0" w:color="auto"/>
        <w:right w:val="none" w:sz="0" w:space="0" w:color="auto"/>
      </w:divBdr>
    </w:div>
    <w:div w:id="986517295">
      <w:bodyDiv w:val="1"/>
      <w:marLeft w:val="0"/>
      <w:marRight w:val="0"/>
      <w:marTop w:val="0"/>
      <w:marBottom w:val="0"/>
      <w:divBdr>
        <w:top w:val="none" w:sz="0" w:space="0" w:color="auto"/>
        <w:left w:val="none" w:sz="0" w:space="0" w:color="auto"/>
        <w:bottom w:val="none" w:sz="0" w:space="0" w:color="auto"/>
        <w:right w:val="none" w:sz="0" w:space="0" w:color="auto"/>
      </w:divBdr>
    </w:div>
    <w:div w:id="1008603495">
      <w:bodyDiv w:val="1"/>
      <w:marLeft w:val="0"/>
      <w:marRight w:val="0"/>
      <w:marTop w:val="0"/>
      <w:marBottom w:val="0"/>
      <w:divBdr>
        <w:top w:val="none" w:sz="0" w:space="0" w:color="auto"/>
        <w:left w:val="none" w:sz="0" w:space="0" w:color="auto"/>
        <w:bottom w:val="none" w:sz="0" w:space="0" w:color="auto"/>
        <w:right w:val="none" w:sz="0" w:space="0" w:color="auto"/>
      </w:divBdr>
    </w:div>
    <w:div w:id="1027365662">
      <w:bodyDiv w:val="1"/>
      <w:marLeft w:val="0"/>
      <w:marRight w:val="0"/>
      <w:marTop w:val="0"/>
      <w:marBottom w:val="0"/>
      <w:divBdr>
        <w:top w:val="none" w:sz="0" w:space="0" w:color="auto"/>
        <w:left w:val="none" w:sz="0" w:space="0" w:color="auto"/>
        <w:bottom w:val="none" w:sz="0" w:space="0" w:color="auto"/>
        <w:right w:val="none" w:sz="0" w:space="0" w:color="auto"/>
      </w:divBdr>
    </w:div>
    <w:div w:id="1072389954">
      <w:bodyDiv w:val="1"/>
      <w:marLeft w:val="0"/>
      <w:marRight w:val="0"/>
      <w:marTop w:val="0"/>
      <w:marBottom w:val="0"/>
      <w:divBdr>
        <w:top w:val="none" w:sz="0" w:space="0" w:color="auto"/>
        <w:left w:val="none" w:sz="0" w:space="0" w:color="auto"/>
        <w:bottom w:val="none" w:sz="0" w:space="0" w:color="auto"/>
        <w:right w:val="none" w:sz="0" w:space="0" w:color="auto"/>
      </w:divBdr>
    </w:div>
    <w:div w:id="1083143360">
      <w:bodyDiv w:val="1"/>
      <w:marLeft w:val="0"/>
      <w:marRight w:val="0"/>
      <w:marTop w:val="0"/>
      <w:marBottom w:val="0"/>
      <w:divBdr>
        <w:top w:val="none" w:sz="0" w:space="0" w:color="auto"/>
        <w:left w:val="none" w:sz="0" w:space="0" w:color="auto"/>
        <w:bottom w:val="none" w:sz="0" w:space="0" w:color="auto"/>
        <w:right w:val="none" w:sz="0" w:space="0" w:color="auto"/>
      </w:divBdr>
    </w:div>
    <w:div w:id="1119764709">
      <w:bodyDiv w:val="1"/>
      <w:marLeft w:val="0"/>
      <w:marRight w:val="0"/>
      <w:marTop w:val="0"/>
      <w:marBottom w:val="0"/>
      <w:divBdr>
        <w:top w:val="none" w:sz="0" w:space="0" w:color="auto"/>
        <w:left w:val="none" w:sz="0" w:space="0" w:color="auto"/>
        <w:bottom w:val="none" w:sz="0" w:space="0" w:color="auto"/>
        <w:right w:val="none" w:sz="0" w:space="0" w:color="auto"/>
      </w:divBdr>
    </w:div>
    <w:div w:id="1125657292">
      <w:bodyDiv w:val="1"/>
      <w:marLeft w:val="0"/>
      <w:marRight w:val="0"/>
      <w:marTop w:val="0"/>
      <w:marBottom w:val="0"/>
      <w:divBdr>
        <w:top w:val="none" w:sz="0" w:space="0" w:color="auto"/>
        <w:left w:val="none" w:sz="0" w:space="0" w:color="auto"/>
        <w:bottom w:val="none" w:sz="0" w:space="0" w:color="auto"/>
        <w:right w:val="none" w:sz="0" w:space="0" w:color="auto"/>
      </w:divBdr>
    </w:div>
    <w:div w:id="1159887858">
      <w:bodyDiv w:val="1"/>
      <w:marLeft w:val="0"/>
      <w:marRight w:val="0"/>
      <w:marTop w:val="0"/>
      <w:marBottom w:val="0"/>
      <w:divBdr>
        <w:top w:val="none" w:sz="0" w:space="0" w:color="auto"/>
        <w:left w:val="none" w:sz="0" w:space="0" w:color="auto"/>
        <w:bottom w:val="none" w:sz="0" w:space="0" w:color="auto"/>
        <w:right w:val="none" w:sz="0" w:space="0" w:color="auto"/>
      </w:divBdr>
    </w:div>
    <w:div w:id="1164248845">
      <w:bodyDiv w:val="1"/>
      <w:marLeft w:val="0"/>
      <w:marRight w:val="0"/>
      <w:marTop w:val="0"/>
      <w:marBottom w:val="0"/>
      <w:divBdr>
        <w:top w:val="none" w:sz="0" w:space="0" w:color="auto"/>
        <w:left w:val="none" w:sz="0" w:space="0" w:color="auto"/>
        <w:bottom w:val="none" w:sz="0" w:space="0" w:color="auto"/>
        <w:right w:val="none" w:sz="0" w:space="0" w:color="auto"/>
      </w:divBdr>
    </w:div>
    <w:div w:id="1165633093">
      <w:bodyDiv w:val="1"/>
      <w:marLeft w:val="0"/>
      <w:marRight w:val="0"/>
      <w:marTop w:val="0"/>
      <w:marBottom w:val="0"/>
      <w:divBdr>
        <w:top w:val="none" w:sz="0" w:space="0" w:color="auto"/>
        <w:left w:val="none" w:sz="0" w:space="0" w:color="auto"/>
        <w:bottom w:val="none" w:sz="0" w:space="0" w:color="auto"/>
        <w:right w:val="none" w:sz="0" w:space="0" w:color="auto"/>
      </w:divBdr>
    </w:div>
    <w:div w:id="1181970218">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210873704">
      <w:bodyDiv w:val="1"/>
      <w:marLeft w:val="0"/>
      <w:marRight w:val="0"/>
      <w:marTop w:val="0"/>
      <w:marBottom w:val="0"/>
      <w:divBdr>
        <w:top w:val="none" w:sz="0" w:space="0" w:color="auto"/>
        <w:left w:val="none" w:sz="0" w:space="0" w:color="auto"/>
        <w:bottom w:val="none" w:sz="0" w:space="0" w:color="auto"/>
        <w:right w:val="none" w:sz="0" w:space="0" w:color="auto"/>
      </w:divBdr>
    </w:div>
    <w:div w:id="1268737177">
      <w:bodyDiv w:val="1"/>
      <w:marLeft w:val="0"/>
      <w:marRight w:val="0"/>
      <w:marTop w:val="0"/>
      <w:marBottom w:val="0"/>
      <w:divBdr>
        <w:top w:val="none" w:sz="0" w:space="0" w:color="auto"/>
        <w:left w:val="none" w:sz="0" w:space="0" w:color="auto"/>
        <w:bottom w:val="none" w:sz="0" w:space="0" w:color="auto"/>
        <w:right w:val="none" w:sz="0" w:space="0" w:color="auto"/>
      </w:divBdr>
    </w:div>
    <w:div w:id="1294097707">
      <w:bodyDiv w:val="1"/>
      <w:marLeft w:val="0"/>
      <w:marRight w:val="0"/>
      <w:marTop w:val="0"/>
      <w:marBottom w:val="0"/>
      <w:divBdr>
        <w:top w:val="none" w:sz="0" w:space="0" w:color="auto"/>
        <w:left w:val="none" w:sz="0" w:space="0" w:color="auto"/>
        <w:bottom w:val="none" w:sz="0" w:space="0" w:color="auto"/>
        <w:right w:val="none" w:sz="0" w:space="0" w:color="auto"/>
      </w:divBdr>
    </w:div>
    <w:div w:id="1303268235">
      <w:bodyDiv w:val="1"/>
      <w:marLeft w:val="0"/>
      <w:marRight w:val="0"/>
      <w:marTop w:val="0"/>
      <w:marBottom w:val="0"/>
      <w:divBdr>
        <w:top w:val="none" w:sz="0" w:space="0" w:color="auto"/>
        <w:left w:val="none" w:sz="0" w:space="0" w:color="auto"/>
        <w:bottom w:val="none" w:sz="0" w:space="0" w:color="auto"/>
        <w:right w:val="none" w:sz="0" w:space="0" w:color="auto"/>
      </w:divBdr>
    </w:div>
    <w:div w:id="1327782397">
      <w:bodyDiv w:val="1"/>
      <w:marLeft w:val="0"/>
      <w:marRight w:val="0"/>
      <w:marTop w:val="0"/>
      <w:marBottom w:val="0"/>
      <w:divBdr>
        <w:top w:val="none" w:sz="0" w:space="0" w:color="auto"/>
        <w:left w:val="none" w:sz="0" w:space="0" w:color="auto"/>
        <w:bottom w:val="none" w:sz="0" w:space="0" w:color="auto"/>
        <w:right w:val="none" w:sz="0" w:space="0" w:color="auto"/>
      </w:divBdr>
    </w:div>
    <w:div w:id="1333601746">
      <w:bodyDiv w:val="1"/>
      <w:marLeft w:val="0"/>
      <w:marRight w:val="0"/>
      <w:marTop w:val="0"/>
      <w:marBottom w:val="0"/>
      <w:divBdr>
        <w:top w:val="none" w:sz="0" w:space="0" w:color="auto"/>
        <w:left w:val="none" w:sz="0" w:space="0" w:color="auto"/>
        <w:bottom w:val="none" w:sz="0" w:space="0" w:color="auto"/>
        <w:right w:val="none" w:sz="0" w:space="0" w:color="auto"/>
      </w:divBdr>
    </w:div>
    <w:div w:id="1340934217">
      <w:bodyDiv w:val="1"/>
      <w:marLeft w:val="0"/>
      <w:marRight w:val="0"/>
      <w:marTop w:val="0"/>
      <w:marBottom w:val="0"/>
      <w:divBdr>
        <w:top w:val="none" w:sz="0" w:space="0" w:color="auto"/>
        <w:left w:val="none" w:sz="0" w:space="0" w:color="auto"/>
        <w:bottom w:val="none" w:sz="0" w:space="0" w:color="auto"/>
        <w:right w:val="none" w:sz="0" w:space="0" w:color="auto"/>
      </w:divBdr>
    </w:div>
    <w:div w:id="1347945975">
      <w:bodyDiv w:val="1"/>
      <w:marLeft w:val="0"/>
      <w:marRight w:val="0"/>
      <w:marTop w:val="0"/>
      <w:marBottom w:val="0"/>
      <w:divBdr>
        <w:top w:val="none" w:sz="0" w:space="0" w:color="auto"/>
        <w:left w:val="none" w:sz="0" w:space="0" w:color="auto"/>
        <w:bottom w:val="none" w:sz="0" w:space="0" w:color="auto"/>
        <w:right w:val="none" w:sz="0" w:space="0" w:color="auto"/>
      </w:divBdr>
    </w:div>
    <w:div w:id="1360668545">
      <w:bodyDiv w:val="1"/>
      <w:marLeft w:val="0"/>
      <w:marRight w:val="0"/>
      <w:marTop w:val="0"/>
      <w:marBottom w:val="0"/>
      <w:divBdr>
        <w:top w:val="none" w:sz="0" w:space="0" w:color="auto"/>
        <w:left w:val="none" w:sz="0" w:space="0" w:color="auto"/>
        <w:bottom w:val="none" w:sz="0" w:space="0" w:color="auto"/>
        <w:right w:val="none" w:sz="0" w:space="0" w:color="auto"/>
      </w:divBdr>
    </w:div>
    <w:div w:id="1387412422">
      <w:bodyDiv w:val="1"/>
      <w:marLeft w:val="0"/>
      <w:marRight w:val="0"/>
      <w:marTop w:val="0"/>
      <w:marBottom w:val="0"/>
      <w:divBdr>
        <w:top w:val="none" w:sz="0" w:space="0" w:color="auto"/>
        <w:left w:val="none" w:sz="0" w:space="0" w:color="auto"/>
        <w:bottom w:val="none" w:sz="0" w:space="0" w:color="auto"/>
        <w:right w:val="none" w:sz="0" w:space="0" w:color="auto"/>
      </w:divBdr>
    </w:div>
    <w:div w:id="1436557472">
      <w:bodyDiv w:val="1"/>
      <w:marLeft w:val="0"/>
      <w:marRight w:val="0"/>
      <w:marTop w:val="0"/>
      <w:marBottom w:val="0"/>
      <w:divBdr>
        <w:top w:val="none" w:sz="0" w:space="0" w:color="auto"/>
        <w:left w:val="none" w:sz="0" w:space="0" w:color="auto"/>
        <w:bottom w:val="none" w:sz="0" w:space="0" w:color="auto"/>
        <w:right w:val="none" w:sz="0" w:space="0" w:color="auto"/>
      </w:divBdr>
    </w:div>
    <w:div w:id="1493137831">
      <w:bodyDiv w:val="1"/>
      <w:marLeft w:val="0"/>
      <w:marRight w:val="0"/>
      <w:marTop w:val="0"/>
      <w:marBottom w:val="0"/>
      <w:divBdr>
        <w:top w:val="none" w:sz="0" w:space="0" w:color="auto"/>
        <w:left w:val="none" w:sz="0" w:space="0" w:color="auto"/>
        <w:bottom w:val="none" w:sz="0" w:space="0" w:color="auto"/>
        <w:right w:val="none" w:sz="0" w:space="0" w:color="auto"/>
      </w:divBdr>
    </w:div>
    <w:div w:id="1531256357">
      <w:bodyDiv w:val="1"/>
      <w:marLeft w:val="0"/>
      <w:marRight w:val="0"/>
      <w:marTop w:val="0"/>
      <w:marBottom w:val="0"/>
      <w:divBdr>
        <w:top w:val="none" w:sz="0" w:space="0" w:color="auto"/>
        <w:left w:val="none" w:sz="0" w:space="0" w:color="auto"/>
        <w:bottom w:val="none" w:sz="0" w:space="0" w:color="auto"/>
        <w:right w:val="none" w:sz="0" w:space="0" w:color="auto"/>
      </w:divBdr>
    </w:div>
    <w:div w:id="1535731623">
      <w:bodyDiv w:val="1"/>
      <w:marLeft w:val="0"/>
      <w:marRight w:val="0"/>
      <w:marTop w:val="0"/>
      <w:marBottom w:val="0"/>
      <w:divBdr>
        <w:top w:val="none" w:sz="0" w:space="0" w:color="auto"/>
        <w:left w:val="none" w:sz="0" w:space="0" w:color="auto"/>
        <w:bottom w:val="none" w:sz="0" w:space="0" w:color="auto"/>
        <w:right w:val="none" w:sz="0" w:space="0" w:color="auto"/>
      </w:divBdr>
    </w:div>
    <w:div w:id="1578856992">
      <w:bodyDiv w:val="1"/>
      <w:marLeft w:val="0"/>
      <w:marRight w:val="0"/>
      <w:marTop w:val="0"/>
      <w:marBottom w:val="0"/>
      <w:divBdr>
        <w:top w:val="none" w:sz="0" w:space="0" w:color="auto"/>
        <w:left w:val="none" w:sz="0" w:space="0" w:color="auto"/>
        <w:bottom w:val="none" w:sz="0" w:space="0" w:color="auto"/>
        <w:right w:val="none" w:sz="0" w:space="0" w:color="auto"/>
      </w:divBdr>
    </w:div>
    <w:div w:id="1597320285">
      <w:bodyDiv w:val="1"/>
      <w:marLeft w:val="0"/>
      <w:marRight w:val="0"/>
      <w:marTop w:val="0"/>
      <w:marBottom w:val="0"/>
      <w:divBdr>
        <w:top w:val="none" w:sz="0" w:space="0" w:color="auto"/>
        <w:left w:val="none" w:sz="0" w:space="0" w:color="auto"/>
        <w:bottom w:val="none" w:sz="0" w:space="0" w:color="auto"/>
        <w:right w:val="none" w:sz="0" w:space="0" w:color="auto"/>
      </w:divBdr>
    </w:div>
    <w:div w:id="1612735545">
      <w:bodyDiv w:val="1"/>
      <w:marLeft w:val="0"/>
      <w:marRight w:val="0"/>
      <w:marTop w:val="0"/>
      <w:marBottom w:val="0"/>
      <w:divBdr>
        <w:top w:val="none" w:sz="0" w:space="0" w:color="auto"/>
        <w:left w:val="none" w:sz="0" w:space="0" w:color="auto"/>
        <w:bottom w:val="none" w:sz="0" w:space="0" w:color="auto"/>
        <w:right w:val="none" w:sz="0" w:space="0" w:color="auto"/>
      </w:divBdr>
    </w:div>
    <w:div w:id="1623069190">
      <w:bodyDiv w:val="1"/>
      <w:marLeft w:val="0"/>
      <w:marRight w:val="0"/>
      <w:marTop w:val="0"/>
      <w:marBottom w:val="0"/>
      <w:divBdr>
        <w:top w:val="none" w:sz="0" w:space="0" w:color="auto"/>
        <w:left w:val="none" w:sz="0" w:space="0" w:color="auto"/>
        <w:bottom w:val="none" w:sz="0" w:space="0" w:color="auto"/>
        <w:right w:val="none" w:sz="0" w:space="0" w:color="auto"/>
      </w:divBdr>
    </w:div>
    <w:div w:id="1634559132">
      <w:bodyDiv w:val="1"/>
      <w:marLeft w:val="0"/>
      <w:marRight w:val="0"/>
      <w:marTop w:val="0"/>
      <w:marBottom w:val="0"/>
      <w:divBdr>
        <w:top w:val="none" w:sz="0" w:space="0" w:color="auto"/>
        <w:left w:val="none" w:sz="0" w:space="0" w:color="auto"/>
        <w:bottom w:val="none" w:sz="0" w:space="0" w:color="auto"/>
        <w:right w:val="none" w:sz="0" w:space="0" w:color="auto"/>
      </w:divBdr>
    </w:div>
    <w:div w:id="1645697102">
      <w:bodyDiv w:val="1"/>
      <w:marLeft w:val="0"/>
      <w:marRight w:val="0"/>
      <w:marTop w:val="0"/>
      <w:marBottom w:val="0"/>
      <w:divBdr>
        <w:top w:val="none" w:sz="0" w:space="0" w:color="auto"/>
        <w:left w:val="none" w:sz="0" w:space="0" w:color="auto"/>
        <w:bottom w:val="none" w:sz="0" w:space="0" w:color="auto"/>
        <w:right w:val="none" w:sz="0" w:space="0" w:color="auto"/>
      </w:divBdr>
    </w:div>
    <w:div w:id="1664235980">
      <w:bodyDiv w:val="1"/>
      <w:marLeft w:val="0"/>
      <w:marRight w:val="0"/>
      <w:marTop w:val="0"/>
      <w:marBottom w:val="0"/>
      <w:divBdr>
        <w:top w:val="none" w:sz="0" w:space="0" w:color="auto"/>
        <w:left w:val="none" w:sz="0" w:space="0" w:color="auto"/>
        <w:bottom w:val="none" w:sz="0" w:space="0" w:color="auto"/>
        <w:right w:val="none" w:sz="0" w:space="0" w:color="auto"/>
      </w:divBdr>
    </w:div>
    <w:div w:id="1667173990">
      <w:bodyDiv w:val="1"/>
      <w:marLeft w:val="0"/>
      <w:marRight w:val="0"/>
      <w:marTop w:val="0"/>
      <w:marBottom w:val="0"/>
      <w:divBdr>
        <w:top w:val="none" w:sz="0" w:space="0" w:color="auto"/>
        <w:left w:val="none" w:sz="0" w:space="0" w:color="auto"/>
        <w:bottom w:val="none" w:sz="0" w:space="0" w:color="auto"/>
        <w:right w:val="none" w:sz="0" w:space="0" w:color="auto"/>
      </w:divBdr>
    </w:div>
    <w:div w:id="1671129790">
      <w:bodyDiv w:val="1"/>
      <w:marLeft w:val="0"/>
      <w:marRight w:val="0"/>
      <w:marTop w:val="0"/>
      <w:marBottom w:val="0"/>
      <w:divBdr>
        <w:top w:val="none" w:sz="0" w:space="0" w:color="auto"/>
        <w:left w:val="none" w:sz="0" w:space="0" w:color="auto"/>
        <w:bottom w:val="none" w:sz="0" w:space="0" w:color="auto"/>
        <w:right w:val="none" w:sz="0" w:space="0" w:color="auto"/>
      </w:divBdr>
    </w:div>
    <w:div w:id="1690136914">
      <w:bodyDiv w:val="1"/>
      <w:marLeft w:val="0"/>
      <w:marRight w:val="0"/>
      <w:marTop w:val="0"/>
      <w:marBottom w:val="0"/>
      <w:divBdr>
        <w:top w:val="none" w:sz="0" w:space="0" w:color="auto"/>
        <w:left w:val="none" w:sz="0" w:space="0" w:color="auto"/>
        <w:bottom w:val="none" w:sz="0" w:space="0" w:color="auto"/>
        <w:right w:val="none" w:sz="0" w:space="0" w:color="auto"/>
      </w:divBdr>
    </w:div>
    <w:div w:id="1694113384">
      <w:bodyDiv w:val="1"/>
      <w:marLeft w:val="0"/>
      <w:marRight w:val="0"/>
      <w:marTop w:val="0"/>
      <w:marBottom w:val="0"/>
      <w:divBdr>
        <w:top w:val="none" w:sz="0" w:space="0" w:color="auto"/>
        <w:left w:val="none" w:sz="0" w:space="0" w:color="auto"/>
        <w:bottom w:val="none" w:sz="0" w:space="0" w:color="auto"/>
        <w:right w:val="none" w:sz="0" w:space="0" w:color="auto"/>
      </w:divBdr>
    </w:div>
    <w:div w:id="1696075655">
      <w:bodyDiv w:val="1"/>
      <w:marLeft w:val="0"/>
      <w:marRight w:val="0"/>
      <w:marTop w:val="0"/>
      <w:marBottom w:val="0"/>
      <w:divBdr>
        <w:top w:val="none" w:sz="0" w:space="0" w:color="auto"/>
        <w:left w:val="none" w:sz="0" w:space="0" w:color="auto"/>
        <w:bottom w:val="none" w:sz="0" w:space="0" w:color="auto"/>
        <w:right w:val="none" w:sz="0" w:space="0" w:color="auto"/>
      </w:divBdr>
    </w:div>
    <w:div w:id="1716810010">
      <w:bodyDiv w:val="1"/>
      <w:marLeft w:val="0"/>
      <w:marRight w:val="0"/>
      <w:marTop w:val="0"/>
      <w:marBottom w:val="0"/>
      <w:divBdr>
        <w:top w:val="none" w:sz="0" w:space="0" w:color="auto"/>
        <w:left w:val="none" w:sz="0" w:space="0" w:color="auto"/>
        <w:bottom w:val="none" w:sz="0" w:space="0" w:color="auto"/>
        <w:right w:val="none" w:sz="0" w:space="0" w:color="auto"/>
      </w:divBdr>
    </w:div>
    <w:div w:id="1760717000">
      <w:bodyDiv w:val="1"/>
      <w:marLeft w:val="0"/>
      <w:marRight w:val="0"/>
      <w:marTop w:val="0"/>
      <w:marBottom w:val="0"/>
      <w:divBdr>
        <w:top w:val="none" w:sz="0" w:space="0" w:color="auto"/>
        <w:left w:val="none" w:sz="0" w:space="0" w:color="auto"/>
        <w:bottom w:val="none" w:sz="0" w:space="0" w:color="auto"/>
        <w:right w:val="none" w:sz="0" w:space="0" w:color="auto"/>
      </w:divBdr>
    </w:div>
    <w:div w:id="1907836583">
      <w:bodyDiv w:val="1"/>
      <w:marLeft w:val="0"/>
      <w:marRight w:val="0"/>
      <w:marTop w:val="0"/>
      <w:marBottom w:val="0"/>
      <w:divBdr>
        <w:top w:val="none" w:sz="0" w:space="0" w:color="auto"/>
        <w:left w:val="none" w:sz="0" w:space="0" w:color="auto"/>
        <w:bottom w:val="none" w:sz="0" w:space="0" w:color="auto"/>
        <w:right w:val="none" w:sz="0" w:space="0" w:color="auto"/>
      </w:divBdr>
    </w:div>
    <w:div w:id="1918632040">
      <w:bodyDiv w:val="1"/>
      <w:marLeft w:val="0"/>
      <w:marRight w:val="0"/>
      <w:marTop w:val="0"/>
      <w:marBottom w:val="0"/>
      <w:divBdr>
        <w:top w:val="none" w:sz="0" w:space="0" w:color="auto"/>
        <w:left w:val="none" w:sz="0" w:space="0" w:color="auto"/>
        <w:bottom w:val="none" w:sz="0" w:space="0" w:color="auto"/>
        <w:right w:val="none" w:sz="0" w:space="0" w:color="auto"/>
      </w:divBdr>
    </w:div>
    <w:div w:id="1946571438">
      <w:bodyDiv w:val="1"/>
      <w:marLeft w:val="0"/>
      <w:marRight w:val="0"/>
      <w:marTop w:val="0"/>
      <w:marBottom w:val="0"/>
      <w:divBdr>
        <w:top w:val="none" w:sz="0" w:space="0" w:color="auto"/>
        <w:left w:val="none" w:sz="0" w:space="0" w:color="auto"/>
        <w:bottom w:val="none" w:sz="0" w:space="0" w:color="auto"/>
        <w:right w:val="none" w:sz="0" w:space="0" w:color="auto"/>
      </w:divBdr>
    </w:div>
    <w:div w:id="1955364772">
      <w:bodyDiv w:val="1"/>
      <w:marLeft w:val="0"/>
      <w:marRight w:val="0"/>
      <w:marTop w:val="0"/>
      <w:marBottom w:val="0"/>
      <w:divBdr>
        <w:top w:val="none" w:sz="0" w:space="0" w:color="auto"/>
        <w:left w:val="none" w:sz="0" w:space="0" w:color="auto"/>
        <w:bottom w:val="none" w:sz="0" w:space="0" w:color="auto"/>
        <w:right w:val="none" w:sz="0" w:space="0" w:color="auto"/>
      </w:divBdr>
    </w:div>
    <w:div w:id="1970354761">
      <w:bodyDiv w:val="1"/>
      <w:marLeft w:val="0"/>
      <w:marRight w:val="0"/>
      <w:marTop w:val="0"/>
      <w:marBottom w:val="0"/>
      <w:divBdr>
        <w:top w:val="none" w:sz="0" w:space="0" w:color="auto"/>
        <w:left w:val="none" w:sz="0" w:space="0" w:color="auto"/>
        <w:bottom w:val="none" w:sz="0" w:space="0" w:color="auto"/>
        <w:right w:val="none" w:sz="0" w:space="0" w:color="auto"/>
      </w:divBdr>
    </w:div>
    <w:div w:id="2004114835">
      <w:bodyDiv w:val="1"/>
      <w:marLeft w:val="0"/>
      <w:marRight w:val="0"/>
      <w:marTop w:val="0"/>
      <w:marBottom w:val="0"/>
      <w:divBdr>
        <w:top w:val="none" w:sz="0" w:space="0" w:color="auto"/>
        <w:left w:val="none" w:sz="0" w:space="0" w:color="auto"/>
        <w:bottom w:val="none" w:sz="0" w:space="0" w:color="auto"/>
        <w:right w:val="none" w:sz="0" w:space="0" w:color="auto"/>
      </w:divBdr>
    </w:div>
    <w:div w:id="2039549769">
      <w:bodyDiv w:val="1"/>
      <w:marLeft w:val="0"/>
      <w:marRight w:val="0"/>
      <w:marTop w:val="0"/>
      <w:marBottom w:val="0"/>
      <w:divBdr>
        <w:top w:val="none" w:sz="0" w:space="0" w:color="auto"/>
        <w:left w:val="none" w:sz="0" w:space="0" w:color="auto"/>
        <w:bottom w:val="none" w:sz="0" w:space="0" w:color="auto"/>
        <w:right w:val="none" w:sz="0" w:space="0" w:color="auto"/>
      </w:divBdr>
    </w:div>
    <w:div w:id="2075617843">
      <w:bodyDiv w:val="1"/>
      <w:marLeft w:val="0"/>
      <w:marRight w:val="0"/>
      <w:marTop w:val="0"/>
      <w:marBottom w:val="0"/>
      <w:divBdr>
        <w:top w:val="none" w:sz="0" w:space="0" w:color="auto"/>
        <w:left w:val="none" w:sz="0" w:space="0" w:color="auto"/>
        <w:bottom w:val="none" w:sz="0" w:space="0" w:color="auto"/>
        <w:right w:val="none" w:sz="0" w:space="0" w:color="auto"/>
      </w:divBdr>
    </w:div>
    <w:div w:id="2108889115">
      <w:bodyDiv w:val="1"/>
      <w:marLeft w:val="0"/>
      <w:marRight w:val="0"/>
      <w:marTop w:val="0"/>
      <w:marBottom w:val="0"/>
      <w:divBdr>
        <w:top w:val="none" w:sz="0" w:space="0" w:color="auto"/>
        <w:left w:val="none" w:sz="0" w:space="0" w:color="auto"/>
        <w:bottom w:val="none" w:sz="0" w:space="0" w:color="auto"/>
        <w:right w:val="none" w:sz="0" w:space="0" w:color="auto"/>
      </w:divBdr>
    </w:div>
    <w:div w:id="2112582806">
      <w:bodyDiv w:val="1"/>
      <w:marLeft w:val="0"/>
      <w:marRight w:val="0"/>
      <w:marTop w:val="0"/>
      <w:marBottom w:val="0"/>
      <w:divBdr>
        <w:top w:val="none" w:sz="0" w:space="0" w:color="auto"/>
        <w:left w:val="none" w:sz="0" w:space="0" w:color="auto"/>
        <w:bottom w:val="none" w:sz="0" w:space="0" w:color="auto"/>
        <w:right w:val="none" w:sz="0" w:space="0" w:color="auto"/>
      </w:divBdr>
    </w:div>
    <w:div w:id="21434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0659-F6DE-4815-9E2C-79F9A660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28</Pages>
  <Words>9820</Words>
  <Characters>55977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Notes to Financial Statements</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Financial Statements</dc:title>
  <dc:creator>COA - Overseas Filipino Bank, Inc.</dc:creator>
  <cp:lastModifiedBy>COA</cp:lastModifiedBy>
  <cp:revision>23</cp:revision>
  <cp:lastPrinted>2023-07-03T04:55:00Z</cp:lastPrinted>
  <dcterms:created xsi:type="dcterms:W3CDTF">2023-06-28T06:16:00Z</dcterms:created>
  <dcterms:modified xsi:type="dcterms:W3CDTF">2023-07-07T13:35:00Z</dcterms:modified>
</cp:coreProperties>
</file>